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宋体" w:hAnsi="宋体" w:eastAsia="宋体" w:cs="宋体"/>
          <w:spacing w:val="0"/>
          <w:w w:val="100"/>
          <w:position w:val="0"/>
        </w:rPr>
      </w:pPr>
      <w:bookmarkStart w:id="0" w:name="_Toc30013"/>
      <w:r>
        <w:rPr>
          <w:rFonts w:hint="eastAsia" w:ascii="宋体" w:hAnsi="宋体" w:eastAsia="宋体" w:cs="宋体"/>
          <w:spacing w:val="0"/>
          <w:w w:val="100"/>
          <w:position w:val="0"/>
        </w:rPr>
        <w:t>(二)近年完成的类似项目情况表</w:t>
      </w:r>
      <w:bookmarkEnd w:id="0"/>
    </w:p>
    <w:p>
      <w:pPr>
        <w:pStyle w:val="5"/>
        <w:bidi w:val="0"/>
        <w:rPr>
          <w:rFonts w:hint="eastAsia" w:ascii="宋体" w:hAnsi="宋体" w:eastAsia="宋体" w:cs="宋体"/>
          <w:spacing w:val="0"/>
          <w:w w:val="100"/>
          <w:position w:val="0"/>
          <w:sz w:val="24"/>
          <w:szCs w:val="28"/>
        </w:rPr>
      </w:pPr>
      <w:bookmarkStart w:id="1" w:name="_Toc32683"/>
      <w:r>
        <w:rPr>
          <w:rFonts w:hint="eastAsia" w:ascii="宋体" w:hAnsi="宋体" w:eastAsia="宋体" w:cs="宋体"/>
          <w:spacing w:val="0"/>
          <w:w w:val="100"/>
          <w:position w:val="0"/>
          <w:sz w:val="24"/>
          <w:szCs w:val="28"/>
        </w:rPr>
        <w:t>近3年承担的国内新建或改扩建高速公路项目机电工程完工或交工验收质量检测业绩情况</w:t>
      </w:r>
      <w:bookmarkEnd w:id="1"/>
    </w:p>
    <w:tbl>
      <w:tblPr>
        <w:tblStyle w:val="7"/>
        <w:tblW w:w="51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1"/>
        <w:gridCol w:w="832"/>
        <w:gridCol w:w="998"/>
        <w:gridCol w:w="1008"/>
        <w:gridCol w:w="926"/>
        <w:gridCol w:w="1092"/>
        <w:gridCol w:w="4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序号</w:t>
            </w:r>
          </w:p>
        </w:tc>
        <w:tc>
          <w:tcPr>
            <w:tcW w:w="41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项目业主</w:t>
            </w:r>
          </w:p>
        </w:tc>
        <w:tc>
          <w:tcPr>
            <w:tcW w:w="50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项目名称</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建设形式</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服务阶段</w:t>
            </w:r>
          </w:p>
        </w:tc>
        <w:tc>
          <w:tcPr>
            <w:tcW w:w="54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合同协议书签订时间</w:t>
            </w:r>
          </w:p>
        </w:tc>
        <w:tc>
          <w:tcPr>
            <w:tcW w:w="231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服务内容及项目主要工程概述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spacing w:val="0"/>
                <w:w w:val="100"/>
                <w:position w:val="0"/>
                <w:sz w:val="21"/>
                <w:szCs w:val="21"/>
              </w:rPr>
              <w:t>1.1</w:t>
            </w:r>
          </w:p>
        </w:tc>
        <w:tc>
          <w:tcPr>
            <w:tcW w:w="4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温州市文泰高速公路有限公司</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浙江省文成至泰顺（浙闽界）公路第WTJJG-2标段试验检测标段</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A3"/>
            </w: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2021年3月30日</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监控设施、通信设施、收费设施、低压配电设施、照明设施、隧道机电设施竣（交）工质量评定检测</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before="0"/>
              <w:ind w:left="0" w:firstLine="356" w:firstLineChars="200"/>
              <w:jc w:val="left"/>
              <w:textAlignment w:val="auto"/>
              <w:rPr>
                <w:rFonts w:hint="eastAsia" w:ascii="宋体" w:hAnsi="宋体" w:eastAsia="宋体" w:cs="宋体"/>
                <w:sz w:val="21"/>
                <w:szCs w:val="21"/>
                <w:lang w:eastAsia="zh-CN"/>
              </w:rPr>
            </w:pPr>
            <w:r>
              <w:rPr>
                <w:rFonts w:hint="eastAsia" w:ascii="宋体" w:hAnsi="宋体" w:eastAsia="宋体" w:cs="宋体"/>
                <w:spacing w:val="-1"/>
                <w:sz w:val="18"/>
                <w:szCs w:val="18"/>
              </w:rPr>
              <w:t>本项目起于文成县樟台，设文成枢纽与在建的龙丽温高速公路文成至瑞安段及规划建设的景宁至文成段实现交通转换，路线经文成县峃口镇、大峃镇、巨屿镇和珊溪镇后，进入泰顺县南浦溪镇、筱村镇和罗阳镇，终于浙闽交界已建的福建省福寿高速友谊大桥附近。主线路线全长 55.963km，其中文成段路线长 22.604km，泰顺段长33.359km。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spacing w:val="0"/>
                <w:w w:val="100"/>
                <w:position w:val="0"/>
                <w:sz w:val="21"/>
                <w:szCs w:val="21"/>
              </w:rPr>
              <w:t>1.2</w:t>
            </w:r>
          </w:p>
        </w:tc>
        <w:tc>
          <w:tcPr>
            <w:tcW w:w="4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pacing w:val="-1"/>
                <w:sz w:val="21"/>
                <w:szCs w:val="21"/>
              </w:rPr>
              <w:t>浙江</w:t>
            </w:r>
            <w:r>
              <w:rPr>
                <w:rFonts w:ascii="宋体" w:hAnsi="宋体" w:eastAsia="宋体"/>
                <w:spacing w:val="-1"/>
                <w:sz w:val="21"/>
                <w:szCs w:val="21"/>
              </w:rPr>
              <w:t>浙大中控</w:t>
            </w:r>
            <w:r>
              <w:rPr>
                <w:rFonts w:hint="eastAsia" w:ascii="宋体" w:hAnsi="宋体" w:eastAsia="宋体"/>
                <w:spacing w:val="-1"/>
                <w:sz w:val="21"/>
                <w:szCs w:val="21"/>
              </w:rPr>
              <w:t>信息</w:t>
            </w:r>
            <w:r>
              <w:rPr>
                <w:rFonts w:ascii="宋体" w:hAnsi="宋体" w:eastAsia="宋体"/>
                <w:spacing w:val="-1"/>
                <w:sz w:val="21"/>
                <w:szCs w:val="21"/>
              </w:rPr>
              <w:t>技术有限公司、</w:t>
            </w:r>
            <w:r>
              <w:rPr>
                <w:rFonts w:hint="eastAsia" w:ascii="宋体" w:hAnsi="宋体" w:eastAsia="宋体"/>
                <w:spacing w:val="-1"/>
                <w:sz w:val="21"/>
                <w:szCs w:val="21"/>
              </w:rPr>
              <w:t>山东</w:t>
            </w:r>
            <w:r>
              <w:rPr>
                <w:rFonts w:ascii="宋体" w:hAnsi="宋体" w:eastAsia="宋体"/>
                <w:spacing w:val="-1"/>
                <w:sz w:val="21"/>
                <w:szCs w:val="21"/>
              </w:rPr>
              <w:t>博安</w:t>
            </w:r>
            <w:r>
              <w:rPr>
                <w:rFonts w:hint="eastAsia" w:ascii="宋体" w:hAnsi="宋体" w:eastAsia="宋体"/>
                <w:spacing w:val="-1"/>
                <w:sz w:val="21"/>
                <w:szCs w:val="21"/>
              </w:rPr>
              <w:t>智能科技股份</w:t>
            </w:r>
            <w:r>
              <w:rPr>
                <w:rFonts w:ascii="宋体" w:hAnsi="宋体" w:eastAsia="宋体"/>
                <w:spacing w:val="-1"/>
                <w:sz w:val="21"/>
                <w:szCs w:val="21"/>
              </w:rPr>
              <w:t>有限公司</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G25长深高速德清至富阳段扩容湖州及G25德清至G60桐乡高速联络线湖州段机电交工质量评定检测</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2021年1月</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sz w:val="21"/>
                <w:szCs w:val="21"/>
                <w:lang w:eastAsia="zh-CN"/>
              </w:rPr>
            </w:pPr>
            <w:r>
              <w:rPr>
                <w:rFonts w:hint="eastAsia"/>
                <w:sz w:val="21"/>
                <w:szCs w:val="21"/>
              </w:rPr>
              <w:t>监控</w:t>
            </w:r>
            <w:r>
              <w:rPr>
                <w:sz w:val="21"/>
                <w:szCs w:val="21"/>
              </w:rPr>
              <w:t>、</w:t>
            </w:r>
            <w:r>
              <w:rPr>
                <w:rFonts w:hint="eastAsia"/>
                <w:sz w:val="21"/>
                <w:szCs w:val="21"/>
              </w:rPr>
              <w:t>通信</w:t>
            </w:r>
            <w:r>
              <w:rPr>
                <w:sz w:val="21"/>
                <w:szCs w:val="21"/>
              </w:rPr>
              <w:t>、</w:t>
            </w:r>
            <w:r>
              <w:rPr>
                <w:rFonts w:hint="eastAsia"/>
                <w:sz w:val="21"/>
                <w:szCs w:val="21"/>
              </w:rPr>
              <w:t>收费</w:t>
            </w:r>
            <w:r>
              <w:rPr>
                <w:sz w:val="21"/>
                <w:szCs w:val="21"/>
              </w:rPr>
              <w:t>、</w:t>
            </w:r>
            <w:r>
              <w:rPr>
                <w:rFonts w:hint="eastAsia"/>
                <w:sz w:val="21"/>
                <w:szCs w:val="21"/>
              </w:rPr>
              <w:t>低压配电</w:t>
            </w:r>
            <w:r>
              <w:rPr>
                <w:sz w:val="21"/>
                <w:szCs w:val="21"/>
              </w:rPr>
              <w:t>、照明</w:t>
            </w:r>
            <w:r>
              <w:rPr>
                <w:rFonts w:hint="eastAsia"/>
                <w:sz w:val="21"/>
                <w:szCs w:val="21"/>
              </w:rPr>
              <w:t>、</w:t>
            </w:r>
            <w:r>
              <w:rPr>
                <w:sz w:val="21"/>
                <w:szCs w:val="21"/>
              </w:rPr>
              <w:t>隧道机电设施</w:t>
            </w:r>
            <w:r>
              <w:rPr>
                <w:rFonts w:hint="eastAsia"/>
                <w:sz w:val="21"/>
                <w:szCs w:val="21"/>
              </w:rPr>
              <w:t>交工质量检测</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firstLine="356" w:firstLineChars="200"/>
              <w:jc w:val="left"/>
              <w:textAlignment w:val="auto"/>
              <w:rPr>
                <w:rFonts w:ascii="宋体" w:hAnsi="宋体" w:eastAsia="宋体"/>
                <w:spacing w:val="-1"/>
                <w:sz w:val="18"/>
                <w:szCs w:val="18"/>
              </w:rPr>
            </w:pPr>
            <w:r>
              <w:rPr>
                <w:rFonts w:hint="eastAsia" w:ascii="宋体" w:hAnsi="宋体" w:eastAsia="宋体"/>
                <w:spacing w:val="-1"/>
                <w:sz w:val="18"/>
                <w:szCs w:val="18"/>
              </w:rPr>
              <w:t>（1）G25长深高速德清至富阳段扩容湖州段</w:t>
            </w:r>
          </w:p>
          <w:p>
            <w:pPr>
              <w:keepNext w:val="0"/>
              <w:keepLines w:val="0"/>
              <w:pageBreakBefore w:val="0"/>
              <w:widowControl w:val="0"/>
              <w:kinsoku/>
              <w:wordWrap/>
              <w:overflowPunct/>
              <w:topLinePunct w:val="0"/>
              <w:autoSpaceDE/>
              <w:autoSpaceDN/>
              <w:bidi w:val="0"/>
              <w:adjustRightInd/>
              <w:snapToGrid/>
              <w:spacing w:line="0" w:lineRule="atLeast"/>
              <w:ind w:left="0" w:firstLine="356" w:firstLineChars="200"/>
              <w:jc w:val="left"/>
              <w:textAlignment w:val="auto"/>
              <w:rPr>
                <w:rFonts w:ascii="宋体" w:hAnsi="宋体" w:eastAsia="宋体"/>
                <w:spacing w:val="-1"/>
                <w:sz w:val="18"/>
                <w:szCs w:val="18"/>
              </w:rPr>
            </w:pPr>
            <w:r>
              <w:rPr>
                <w:rFonts w:hint="eastAsia" w:ascii="宋体" w:hAnsi="宋体" w:eastAsia="宋体"/>
                <w:spacing w:val="-1"/>
                <w:sz w:val="18"/>
                <w:szCs w:val="18"/>
              </w:rPr>
              <w:t>路线全长约26.147km。本扩容段全线采用双向六车道高速公路标准建设，设计速度100公里/小时，路基宽度33.5米。桥涵设计汽车荷载等级采用公路-Ⅰ级，其他技术指标按《公路工程技术标准》(JTG B01-2014)执行。舞阳互通式立交连接线采用二级公路标准建设。</w:t>
            </w:r>
          </w:p>
          <w:p>
            <w:pPr>
              <w:keepNext w:val="0"/>
              <w:keepLines w:val="0"/>
              <w:pageBreakBefore w:val="0"/>
              <w:widowControl w:val="0"/>
              <w:kinsoku/>
              <w:wordWrap/>
              <w:overflowPunct/>
              <w:topLinePunct w:val="0"/>
              <w:autoSpaceDE/>
              <w:autoSpaceDN/>
              <w:bidi w:val="0"/>
              <w:adjustRightInd/>
              <w:snapToGrid/>
              <w:spacing w:line="0" w:lineRule="atLeast"/>
              <w:ind w:left="0" w:firstLine="356" w:firstLineChars="200"/>
              <w:jc w:val="left"/>
              <w:textAlignment w:val="auto"/>
              <w:rPr>
                <w:rFonts w:ascii="宋体" w:hAnsi="宋体" w:eastAsia="宋体"/>
                <w:spacing w:val="-1"/>
                <w:sz w:val="18"/>
                <w:szCs w:val="18"/>
              </w:rPr>
            </w:pPr>
            <w:r>
              <w:rPr>
                <w:rFonts w:hint="eastAsia" w:ascii="宋体" w:hAnsi="宋体" w:eastAsia="宋体"/>
                <w:spacing w:val="-1"/>
                <w:sz w:val="18"/>
                <w:szCs w:val="18"/>
              </w:rPr>
              <w:t>（2）G25德清至G60桐乡高速联络线湖州段</w:t>
            </w:r>
          </w:p>
          <w:p>
            <w:pPr>
              <w:pStyle w:val="2"/>
              <w:keepNext w:val="0"/>
              <w:keepLines w:val="0"/>
              <w:pageBreakBefore w:val="0"/>
              <w:widowControl w:val="0"/>
              <w:kinsoku/>
              <w:wordWrap/>
              <w:overflowPunct/>
              <w:topLinePunct w:val="0"/>
              <w:autoSpaceDE/>
              <w:autoSpaceDN/>
              <w:bidi w:val="0"/>
              <w:adjustRightInd/>
              <w:snapToGrid/>
              <w:spacing w:before="0"/>
              <w:ind w:left="0" w:firstLine="356" w:firstLineChars="200"/>
              <w:jc w:val="left"/>
              <w:textAlignment w:val="auto"/>
              <w:rPr>
                <w:rFonts w:hint="eastAsia"/>
                <w:sz w:val="21"/>
                <w:szCs w:val="21"/>
                <w:lang w:eastAsia="zh-CN"/>
              </w:rPr>
            </w:pPr>
            <w:r>
              <w:rPr>
                <w:rFonts w:hint="eastAsia" w:ascii="宋体" w:hAnsi="宋体" w:eastAsia="宋体"/>
                <w:spacing w:val="-1"/>
                <w:sz w:val="18"/>
                <w:szCs w:val="18"/>
              </w:rPr>
              <w:t>路线全长约24.667km（实施里程23.82km）。主线共设置桥梁（含互通区主线桥及主线上跨分离立交桥）约11456m/26座，其中：特大桥5371m/4座，大桥5278m/9座，中小桥807m/13座；设置互通4处，其中枢纽互通1处，一般互通3处；交警管理用房1处（与新市西互通合建），路政业务用房1处（与钟管互通合建）；匝道收费站3处，以及必要的交通安全、服务等设施。新建乾元互通连接线约4.966km。主线采用《公路工程技术标准》（JTG B01-2014）中的高速公路标准，双向六车道，设计速度100km/小时，路基宽度33.5米；互通连接线采用二级公路标准，设计速度60km/小时，路基宽度12米。桥涵设计荷载采用公路-I级；路面标准轴载采用BZZ-100；设计洪水频率特大桥1/300，其他1/100.地震基本烈度VI度。其他技术指标按有关现行标准、规范执行，并满足中华人民共和国《工程建设标准强制性条文》（公路工程部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spacing w:val="0"/>
                <w:w w:val="100"/>
                <w:position w:val="0"/>
                <w:sz w:val="21"/>
                <w:szCs w:val="21"/>
              </w:rPr>
              <w:t>1.3</w:t>
            </w:r>
          </w:p>
        </w:tc>
        <w:tc>
          <w:tcPr>
            <w:tcW w:w="4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浙江省交通运输</w:t>
            </w:r>
            <w:r>
              <w:rPr>
                <w:rFonts w:ascii="宋体" w:hAnsi="宋体" w:eastAsia="宋体"/>
                <w:sz w:val="21"/>
                <w:szCs w:val="21"/>
              </w:rPr>
              <w:t>科学研究院</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申嘉湖高速公路</w:t>
            </w:r>
            <w:r>
              <w:rPr>
                <w:rFonts w:ascii="宋体" w:hAnsi="宋体" w:eastAsia="宋体"/>
                <w:sz w:val="21"/>
                <w:szCs w:val="21"/>
              </w:rPr>
              <w:t>湖州鹿山至安吉孝源段工程竣（</w:t>
            </w:r>
            <w:r>
              <w:rPr>
                <w:rFonts w:hint="eastAsia" w:ascii="宋体" w:hAnsi="宋体" w:eastAsia="宋体"/>
                <w:sz w:val="21"/>
                <w:szCs w:val="21"/>
              </w:rPr>
              <w:t>交</w:t>
            </w:r>
            <w:r>
              <w:rPr>
                <w:rFonts w:ascii="宋体" w:hAnsi="宋体" w:eastAsia="宋体"/>
                <w:sz w:val="21"/>
                <w:szCs w:val="21"/>
              </w:rPr>
              <w:t>）</w:t>
            </w:r>
            <w:r>
              <w:rPr>
                <w:rFonts w:hint="eastAsia" w:ascii="宋体" w:hAnsi="宋体" w:eastAsia="宋体"/>
                <w:sz w:val="21"/>
                <w:szCs w:val="21"/>
              </w:rPr>
              <w:t>工</w:t>
            </w:r>
            <w:r>
              <w:rPr>
                <w:rFonts w:ascii="宋体" w:hAnsi="宋体" w:eastAsia="宋体"/>
                <w:sz w:val="21"/>
                <w:szCs w:val="21"/>
              </w:rPr>
              <w:t>质量评定</w:t>
            </w:r>
            <w:r>
              <w:rPr>
                <w:rFonts w:hint="eastAsia" w:ascii="宋体" w:hAnsi="宋体" w:eastAsia="宋体"/>
                <w:sz w:val="21"/>
                <w:szCs w:val="21"/>
              </w:rPr>
              <w:t>检测</w:t>
            </w:r>
            <w:r>
              <w:rPr>
                <w:rFonts w:ascii="宋体" w:hAnsi="宋体" w:eastAsia="宋体"/>
                <w:sz w:val="21"/>
                <w:szCs w:val="21"/>
              </w:rPr>
              <w:t>项目机电检测项目</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2021年12月17日</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sz w:val="21"/>
                <w:szCs w:val="21"/>
                <w:lang w:eastAsia="zh-CN"/>
              </w:rPr>
            </w:pPr>
            <w:r>
              <w:rPr>
                <w:rFonts w:hint="eastAsia"/>
                <w:sz w:val="21"/>
                <w:szCs w:val="21"/>
              </w:rPr>
              <w:t>交通机电工程：监控</w:t>
            </w:r>
            <w:r>
              <w:rPr>
                <w:sz w:val="21"/>
                <w:szCs w:val="21"/>
              </w:rPr>
              <w:t>设施、</w:t>
            </w:r>
            <w:r>
              <w:rPr>
                <w:rFonts w:hint="eastAsia"/>
                <w:sz w:val="21"/>
                <w:szCs w:val="21"/>
              </w:rPr>
              <w:t>通信</w:t>
            </w:r>
            <w:r>
              <w:rPr>
                <w:sz w:val="21"/>
                <w:szCs w:val="21"/>
              </w:rPr>
              <w:t>设施、</w:t>
            </w:r>
            <w:r>
              <w:rPr>
                <w:rFonts w:hint="eastAsia"/>
                <w:sz w:val="21"/>
                <w:szCs w:val="21"/>
              </w:rPr>
              <w:t>收费设施、低压配电设施</w:t>
            </w:r>
            <w:r>
              <w:rPr>
                <w:sz w:val="21"/>
                <w:szCs w:val="21"/>
              </w:rPr>
              <w:t>、照明设施</w:t>
            </w:r>
            <w:r>
              <w:rPr>
                <w:rFonts w:hint="eastAsia"/>
                <w:sz w:val="21"/>
                <w:szCs w:val="21"/>
              </w:rPr>
              <w:t>、</w:t>
            </w:r>
            <w:r>
              <w:rPr>
                <w:sz w:val="21"/>
                <w:szCs w:val="21"/>
              </w:rPr>
              <w:t>隧道机电设施</w:t>
            </w:r>
            <w:r>
              <w:rPr>
                <w:rFonts w:hint="eastAsia"/>
                <w:sz w:val="21"/>
                <w:szCs w:val="21"/>
              </w:rPr>
              <w:t>等交工质量检测</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before="0"/>
              <w:ind w:left="0" w:firstLine="356" w:firstLineChars="200"/>
              <w:jc w:val="left"/>
              <w:textAlignment w:val="auto"/>
              <w:rPr>
                <w:rFonts w:hint="eastAsia"/>
                <w:lang w:eastAsia="zh-CN"/>
              </w:rPr>
            </w:pPr>
            <w:r>
              <w:rPr>
                <w:rFonts w:hint="eastAsia" w:ascii="宋体" w:hAnsi="宋体" w:eastAsia="宋体" w:cs="Times New Roman"/>
                <w:spacing w:val="-1"/>
                <w:sz w:val="18"/>
                <w:szCs w:val="18"/>
              </w:rPr>
              <w:t>本项目为申嘉湖高速公路湖州鹿山至安吉孝源段起点申嘉湖高速公路与杭宁高速公路相交的鹿山枢纽，顺接申嘉湖高速湖州段的终点预留位置，起点桩号为 K100+978.201，往西下穿杭宁高铁和宣杭铁路，跨 S306 省道，穿城山隧道并经和平开发区南侧，穿鸡龙山特长隧道至梅溪镇，经溪龙乡南侧后再次跨过 S306 省道后穿鞍山隧道，跨西苕溪、04 省道和杭长高速公路，继续往西跨过康山大道后，终于安吉孝源街道的孝源互通，终点桩号K149+550，路线全长 48.563km。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spacing w:val="0"/>
                <w:w w:val="100"/>
                <w:position w:val="0"/>
                <w:sz w:val="21"/>
                <w:szCs w:val="21"/>
              </w:rPr>
              <w:t>1.4</w:t>
            </w:r>
          </w:p>
        </w:tc>
        <w:tc>
          <w:tcPr>
            <w:tcW w:w="4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浙江交科工程</w:t>
            </w:r>
            <w:r>
              <w:rPr>
                <w:rFonts w:ascii="宋体" w:hAnsi="宋体" w:eastAsia="宋体"/>
                <w:sz w:val="21"/>
                <w:szCs w:val="21"/>
              </w:rPr>
              <w:t>检测有限公司</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杭绍台</w:t>
            </w:r>
            <w:r>
              <w:rPr>
                <w:rFonts w:ascii="宋体" w:hAnsi="宋体" w:eastAsia="宋体"/>
                <w:sz w:val="21"/>
                <w:szCs w:val="21"/>
              </w:rPr>
              <w:t>高速公路台州段机电工程交工质量评定</w:t>
            </w:r>
            <w:r>
              <w:rPr>
                <w:rFonts w:hint="eastAsia" w:ascii="宋体" w:hAnsi="宋体" w:eastAsia="宋体"/>
                <w:sz w:val="21"/>
                <w:szCs w:val="21"/>
              </w:rPr>
              <w:t>检测</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2022年1月</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sz w:val="21"/>
                <w:szCs w:val="20"/>
                <w:lang w:eastAsia="zh-CN"/>
              </w:rPr>
            </w:pPr>
            <w:r>
              <w:rPr>
                <w:rFonts w:hint="eastAsia"/>
                <w:sz w:val="21"/>
                <w:szCs w:val="20"/>
              </w:rPr>
              <w:t>交通机电工程：监控</w:t>
            </w:r>
            <w:r>
              <w:rPr>
                <w:sz w:val="21"/>
                <w:szCs w:val="20"/>
              </w:rPr>
              <w:t>设施、</w:t>
            </w:r>
            <w:r>
              <w:rPr>
                <w:rFonts w:hint="eastAsia"/>
                <w:sz w:val="21"/>
                <w:szCs w:val="20"/>
              </w:rPr>
              <w:t>通信</w:t>
            </w:r>
            <w:r>
              <w:rPr>
                <w:sz w:val="21"/>
                <w:szCs w:val="20"/>
              </w:rPr>
              <w:t>设施、</w:t>
            </w:r>
            <w:r>
              <w:rPr>
                <w:rFonts w:hint="eastAsia"/>
                <w:sz w:val="21"/>
                <w:szCs w:val="20"/>
              </w:rPr>
              <w:t>收费设施、低压配电设施</w:t>
            </w:r>
            <w:r>
              <w:rPr>
                <w:sz w:val="21"/>
                <w:szCs w:val="20"/>
              </w:rPr>
              <w:t>、照明设施</w:t>
            </w:r>
            <w:r>
              <w:rPr>
                <w:rFonts w:hint="eastAsia"/>
                <w:sz w:val="21"/>
                <w:szCs w:val="20"/>
                <w:lang w:eastAsia="zh-CN"/>
              </w:rPr>
              <w:t>、</w:t>
            </w:r>
            <w:r>
              <w:rPr>
                <w:rFonts w:hint="eastAsia"/>
                <w:sz w:val="21"/>
                <w:szCs w:val="20"/>
                <w:lang w:val="en-US" w:eastAsia="zh-CN"/>
              </w:rPr>
              <w:t>隧道机电设施</w:t>
            </w:r>
            <w:r>
              <w:rPr>
                <w:rFonts w:hint="eastAsia"/>
                <w:sz w:val="21"/>
                <w:szCs w:val="20"/>
              </w:rPr>
              <w:t>等交工质量检测</w:t>
            </w:r>
            <w:r>
              <w:rPr>
                <w:rFonts w:hint="eastAsia"/>
                <w:sz w:val="21"/>
                <w:szCs w:val="20"/>
                <w:lang w:eastAsia="zh-CN"/>
              </w:rPr>
              <w:t>。</w:t>
            </w:r>
          </w:p>
          <w:p>
            <w:pPr>
              <w:keepNext w:val="0"/>
              <w:keepLines w:val="0"/>
              <w:pageBreakBefore w:val="0"/>
              <w:widowControl w:val="0"/>
              <w:kinsoku/>
              <w:wordWrap/>
              <w:overflowPunct/>
              <w:topLinePunct w:val="0"/>
              <w:autoSpaceDE/>
              <w:autoSpaceDN/>
              <w:bidi w:val="0"/>
              <w:adjustRightInd/>
              <w:snapToGrid/>
              <w:ind w:left="0" w:firstLine="356" w:firstLineChars="200"/>
              <w:jc w:val="left"/>
              <w:textAlignment w:val="auto"/>
              <w:rPr>
                <w:rFonts w:ascii="宋体" w:hAnsi="宋体" w:eastAsia="宋体" w:cs="Times New Roman"/>
                <w:spacing w:val="-1"/>
                <w:sz w:val="18"/>
                <w:szCs w:val="16"/>
              </w:rPr>
            </w:pPr>
            <w:r>
              <w:rPr>
                <w:rFonts w:hint="eastAsia" w:ascii="宋体" w:hAnsi="宋体" w:eastAsia="宋体" w:cs="Times New Roman"/>
                <w:spacing w:val="-1"/>
                <w:sz w:val="18"/>
                <w:szCs w:val="16"/>
              </w:rPr>
              <w:t>杭绍台高速公路工程台州段（不含绍兴金华境路线）全长45.184公里。全线共设置桥梁13825米/36座（含分离式立交及互通主线桥），其中特大桥5308米/4座、大桥7762米/20座、中桥755米/12座；设置隧道（含互通主线隧道）18662米/10座，其中特长隧道11229米/2座（大盘山隧道台州段6911.5米，大雷山隧道4317.5米）、长隧道5850米/4座、中短隧道1583米/4座；设置互通式立交4处，其中枢纽互通1处、一般互通 3 处；设置互通收费站4处、服务区1处（与街头互通合建）、管理分中心1处、隧道管理站2处、养护工区1处以及必要的交通安全、服务等设施；雷峰互通连接线约2.2公里（含隧道）、双港互通连接线约6.9公里、括苍枢纽连接线约1.5公里。</w:t>
            </w:r>
          </w:p>
          <w:p>
            <w:pPr>
              <w:pStyle w:val="2"/>
              <w:keepNext w:val="0"/>
              <w:keepLines w:val="0"/>
              <w:pageBreakBefore w:val="0"/>
              <w:widowControl w:val="0"/>
              <w:kinsoku/>
              <w:wordWrap/>
              <w:overflowPunct/>
              <w:topLinePunct w:val="0"/>
              <w:autoSpaceDE/>
              <w:autoSpaceDN/>
              <w:bidi w:val="0"/>
              <w:adjustRightInd/>
              <w:snapToGrid/>
              <w:spacing w:before="0"/>
              <w:ind w:left="0" w:firstLine="356" w:firstLineChars="200"/>
              <w:jc w:val="left"/>
              <w:textAlignment w:val="auto"/>
              <w:rPr>
                <w:rFonts w:hint="eastAsia"/>
                <w:lang w:eastAsia="zh-CN"/>
              </w:rPr>
            </w:pPr>
            <w:r>
              <w:rPr>
                <w:rFonts w:hint="eastAsia" w:ascii="宋体" w:hAnsi="宋体" w:eastAsia="宋体" w:cs="Times New Roman"/>
                <w:spacing w:val="-1"/>
                <w:sz w:val="18"/>
                <w:szCs w:val="18"/>
              </w:rPr>
              <w:t>主线采用《公路工程技术标准》（JTGB01-2014）中的双向四车道高速公路标准，设计速度100公里/小时，路基宽度26米。雷峰互通连接线采用二级公路标准，设计速度60公里/小时，路基宽度12米；双港互通连接线、括苍枢纽连接线采用二级公路标准，设计速度80公里/小时，路基宽度12米。桥梁设计荷载为公路-I 级；设计洪水频率： 特大桥1/300，大、中、小桥、涵洞及路基1/100。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b w:val="0"/>
                <w:bCs w:val="0"/>
                <w:spacing w:val="0"/>
                <w:w w:val="100"/>
                <w:position w:val="0"/>
                <w:sz w:val="21"/>
                <w:szCs w:val="21"/>
                <w:lang w:val="en-US" w:eastAsia="zh-CN"/>
              </w:rPr>
              <w:t>1.5</w:t>
            </w:r>
          </w:p>
        </w:tc>
        <w:tc>
          <w:tcPr>
            <w:tcW w:w="41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sz w:val="21"/>
                <w:szCs w:val="21"/>
                <w:lang w:val="en-US" w:eastAsia="zh-CN"/>
              </w:rPr>
              <w:t>北京公科飞达交通工程发展有限公司</w:t>
            </w:r>
          </w:p>
        </w:tc>
        <w:tc>
          <w:tcPr>
            <w:tcW w:w="50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0"/>
                <w:w w:val="100"/>
                <w:position w:val="0"/>
                <w:sz w:val="21"/>
                <w:szCs w:val="21"/>
              </w:rPr>
            </w:pPr>
            <w:r>
              <w:rPr>
                <w:rFonts w:hint="eastAsia"/>
                <w:sz w:val="21"/>
                <w:szCs w:val="21"/>
                <w:lang w:val="en-US" w:eastAsia="zh-CN"/>
              </w:rPr>
              <w:t>珠海市鹤洲至高栏港高速公路机电工程</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2022年4月1日</w:t>
            </w:r>
          </w:p>
        </w:tc>
        <w:tc>
          <w:tcPr>
            <w:tcW w:w="231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sz w:val="21"/>
                <w:szCs w:val="21"/>
                <w:lang w:val="en-US" w:eastAsia="zh-CN"/>
              </w:rPr>
            </w:pPr>
            <w:r>
              <w:rPr>
                <w:rFonts w:hint="eastAsia"/>
                <w:sz w:val="21"/>
                <w:szCs w:val="21"/>
                <w:lang w:val="en-US" w:eastAsia="zh-CN"/>
              </w:rPr>
              <w:t>对珠海市鹤洲至高栏港高速公路机电工程进行质量检测，并出具公正的检测报告。本工程设定的检测项目主要为监控系统、通信系统、收费系统、低压配电系统、隧道机电设施等。</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356" w:firstLineChars="200"/>
              <w:jc w:val="left"/>
              <w:textAlignment w:val="auto"/>
              <w:rPr>
                <w:rFonts w:hint="eastAsia"/>
                <w:sz w:val="21"/>
                <w:szCs w:val="21"/>
                <w:lang w:val="en-US" w:eastAsia="zh-CN"/>
              </w:rPr>
            </w:pPr>
            <w:r>
              <w:rPr>
                <w:rFonts w:hint="eastAsia" w:ascii="宋体" w:hAnsi="宋体" w:eastAsia="宋体" w:cs="Times New Roman"/>
                <w:spacing w:val="-1"/>
                <w:kern w:val="2"/>
                <w:sz w:val="18"/>
                <w:szCs w:val="16"/>
                <w:lang w:val="en-US" w:eastAsia="zh-CN" w:bidi="ar-SA"/>
              </w:rPr>
              <w:t>鹤洲至高栏港高速公路是珠海市公路网的重要组成部分，东接珠海洪鹤大桥及江珠高速公路，西接高栏港高速公路，项目连通广澳高速珠海段、江珠高速、机场高速、高栏港高速等多条南北高速公路，串接了珠海市主城区、西部中心城区和高栏港经济区等多个城市组团。本项目的建设，对完善珠海市高速公路网络布局，增强珠三角核心区域对周边地区经济辐射的作用，促进珠海市“双港”建设，改善投资环境，加快珠海市西部地区经济社会发展作用巨大。同时，本项目的建设也将缓解珠海大道（S366）交通量不断增长的压力，为珠海市城市的总体发展开辟新的东西向主要通道，对珠海市向西扩展，远期连接黄茅海大桥具有重要意义。项目起点对接江珠高速，上跨珠海大道、鹤州水道，设互通衔接洪鹤大桥，上跨白藤河水道、机场东路、机场北路、机场高速、鸡啼门水道、南水河、珠海大道，止于高栏港高速，路线长约35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spacing w:val="0"/>
                <w:w w:val="100"/>
                <w:position w:val="0"/>
                <w:sz w:val="21"/>
                <w:szCs w:val="21"/>
                <w:lang w:val="en-US" w:eastAsia="zh-CN"/>
              </w:rPr>
            </w:pPr>
            <w:r>
              <w:rPr>
                <w:rFonts w:hint="eastAsia" w:cs="宋体"/>
                <w:b w:val="0"/>
                <w:bCs w:val="0"/>
                <w:spacing w:val="0"/>
                <w:w w:val="100"/>
                <w:position w:val="0"/>
                <w:sz w:val="21"/>
                <w:szCs w:val="21"/>
                <w:lang w:val="en-US" w:eastAsia="zh-CN"/>
              </w:rPr>
              <w:t>1.6</w:t>
            </w:r>
          </w:p>
        </w:tc>
        <w:tc>
          <w:tcPr>
            <w:tcW w:w="41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sz w:val="21"/>
                <w:szCs w:val="21"/>
                <w:lang w:val="en-US" w:eastAsia="zh-CN"/>
              </w:rPr>
            </w:pPr>
            <w:r>
              <w:rPr>
                <w:rFonts w:hint="eastAsia"/>
                <w:sz w:val="21"/>
                <w:szCs w:val="21"/>
                <w:lang w:val="en-US" w:eastAsia="zh-CN"/>
              </w:rPr>
              <w:t>江西方兴科技股份有限公司</w:t>
            </w:r>
          </w:p>
        </w:tc>
        <w:tc>
          <w:tcPr>
            <w:tcW w:w="50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sz w:val="21"/>
                <w:szCs w:val="21"/>
                <w:lang w:val="en-US" w:eastAsia="zh-CN"/>
              </w:rPr>
            </w:pPr>
            <w:r>
              <w:rPr>
                <w:rFonts w:hint="eastAsia"/>
                <w:sz w:val="21"/>
                <w:szCs w:val="21"/>
                <w:lang w:val="en-US" w:eastAsia="zh-CN"/>
              </w:rPr>
              <w:t>都至梧州高速公路一期工程设计施工总承包机电工程项目交工验收前质量检定</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spacing w:val="0"/>
                <w:w w:val="100"/>
                <w:kern w:val="2"/>
                <w:position w:val="0"/>
                <w:sz w:val="21"/>
                <w:szCs w:val="21"/>
                <w:lang w:val="en-US" w:eastAsia="zh-CN" w:bidi="ar-SA"/>
              </w:rPr>
            </w:pP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spacing w:val="0"/>
                <w:w w:val="100"/>
                <w:kern w:val="2"/>
                <w:position w:val="0"/>
                <w:sz w:val="21"/>
                <w:szCs w:val="21"/>
                <w:lang w:val="en-US" w:eastAsia="zh-CN" w:bidi="ar-SA"/>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kern w:val="2"/>
                <w:position w:val="0"/>
                <w:sz w:val="21"/>
                <w:szCs w:val="21"/>
                <w:lang w:val="en-US" w:eastAsia="zh-CN" w:bidi="ar-SA"/>
              </w:rPr>
            </w:pPr>
            <w:r>
              <w:rPr>
                <w:rFonts w:hint="eastAsia" w:ascii="宋体" w:hAnsi="宋体" w:eastAsia="宋体" w:cs="宋体"/>
                <w:spacing w:val="0"/>
                <w:w w:val="100"/>
                <w:position w:val="0"/>
                <w:sz w:val="21"/>
                <w:szCs w:val="21"/>
                <w:lang w:val="en-US" w:eastAsia="zh-CN"/>
              </w:rPr>
              <w:t>2022年</w:t>
            </w:r>
            <w:r>
              <w:rPr>
                <w:rFonts w:hint="eastAsia" w:cs="宋体"/>
                <w:spacing w:val="0"/>
                <w:w w:val="100"/>
                <w:position w:val="0"/>
                <w:sz w:val="21"/>
                <w:szCs w:val="21"/>
                <w:lang w:val="en-US" w:eastAsia="zh-CN"/>
              </w:rPr>
              <w:t>9</w:t>
            </w:r>
            <w:r>
              <w:rPr>
                <w:rFonts w:hint="eastAsia" w:ascii="宋体" w:hAnsi="宋体" w:eastAsia="宋体" w:cs="宋体"/>
                <w:spacing w:val="0"/>
                <w:w w:val="100"/>
                <w:position w:val="0"/>
                <w:sz w:val="21"/>
                <w:szCs w:val="21"/>
                <w:lang w:val="en-US" w:eastAsia="zh-CN"/>
              </w:rPr>
              <w:t>月</w:t>
            </w:r>
            <w:r>
              <w:rPr>
                <w:rFonts w:hint="eastAsia" w:cs="宋体"/>
                <w:spacing w:val="0"/>
                <w:w w:val="100"/>
                <w:position w:val="0"/>
                <w:sz w:val="21"/>
                <w:szCs w:val="21"/>
                <w:lang w:val="en-US" w:eastAsia="zh-CN"/>
              </w:rPr>
              <w:t>29</w:t>
            </w:r>
            <w:r>
              <w:rPr>
                <w:rFonts w:hint="eastAsia" w:ascii="宋体" w:hAnsi="宋体" w:eastAsia="宋体" w:cs="宋体"/>
                <w:spacing w:val="0"/>
                <w:w w:val="100"/>
                <w:position w:val="0"/>
                <w:sz w:val="21"/>
                <w:szCs w:val="21"/>
                <w:lang w:val="en-US" w:eastAsia="zh-CN"/>
              </w:rPr>
              <w:t>日</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firstLine="416" w:firstLineChars="200"/>
              <w:jc w:val="left"/>
              <w:textAlignment w:val="auto"/>
              <w:rPr>
                <w:rFonts w:hint="eastAsia" w:ascii="宋体" w:hAnsi="宋体" w:eastAsia="宋体" w:cs="Times New Roman"/>
                <w:spacing w:val="-1"/>
                <w:sz w:val="21"/>
                <w:szCs w:val="20"/>
                <w:lang w:val="en-US" w:eastAsia="zh-CN"/>
              </w:rPr>
            </w:pPr>
            <w:r>
              <w:rPr>
                <w:rFonts w:hint="default" w:ascii="宋体" w:hAnsi="宋体" w:eastAsia="宋体" w:cs="Times New Roman"/>
                <w:spacing w:val="-1"/>
                <w:sz w:val="21"/>
                <w:szCs w:val="20"/>
                <w:lang w:val="en-US" w:eastAsia="zh-CN"/>
              </w:rPr>
              <w:t>本次检测主要为一期项目机电工程的交工检测，主要对机电工程（包含监控设施、通信设施、收费设施、供配电设施、照明设施、隧道机电设施）等分部工程的各机电系统使用功能进行现场测试，逐项进行系统技术指标的测试，并出具检测报告。</w:t>
            </w:r>
          </w:p>
          <w:p>
            <w:pPr>
              <w:keepNext w:val="0"/>
              <w:keepLines w:val="0"/>
              <w:pageBreakBefore w:val="0"/>
              <w:widowControl w:val="0"/>
              <w:kinsoku/>
              <w:wordWrap/>
              <w:overflowPunct/>
              <w:topLinePunct w:val="0"/>
              <w:autoSpaceDE/>
              <w:autoSpaceDN/>
              <w:bidi w:val="0"/>
              <w:adjustRightInd/>
              <w:snapToGrid/>
              <w:ind w:left="0" w:firstLine="356" w:firstLineChars="200"/>
              <w:jc w:val="left"/>
              <w:textAlignment w:val="auto"/>
              <w:rPr>
                <w:rFonts w:hint="eastAsia" w:ascii="宋体" w:hAnsi="宋体" w:eastAsia="宋体" w:cs="Times New Roman"/>
                <w:spacing w:val="-1"/>
                <w:sz w:val="18"/>
                <w:szCs w:val="16"/>
                <w:lang w:val="en-US" w:eastAsia="zh-CN"/>
              </w:rPr>
            </w:pPr>
            <w:r>
              <w:rPr>
                <w:rFonts w:hint="eastAsia" w:ascii="宋体" w:hAnsi="宋体" w:eastAsia="宋体" w:cs="Times New Roman"/>
                <w:spacing w:val="-1"/>
                <w:sz w:val="18"/>
                <w:szCs w:val="16"/>
                <w:lang w:val="en-US" w:eastAsia="zh-CN"/>
              </w:rPr>
              <w:t>信都至梧州高速公路全长约 75 公里，起点位于贺州市八步区信都镇上洞附近，与广贺高速公路连接，途径贺州市信都镇、仁义镇、梧州市苍梧县石桥镇、梨埠镇、旺甫镇，终于旺甫镇古塝村附近，与梧州环城高速公路连接，路线大致南北走向。</w:t>
            </w:r>
          </w:p>
          <w:p>
            <w:pPr>
              <w:keepNext w:val="0"/>
              <w:keepLines w:val="0"/>
              <w:pageBreakBefore w:val="0"/>
              <w:widowControl w:val="0"/>
              <w:kinsoku/>
              <w:wordWrap/>
              <w:overflowPunct/>
              <w:topLinePunct w:val="0"/>
              <w:autoSpaceDE/>
              <w:autoSpaceDN/>
              <w:bidi w:val="0"/>
              <w:adjustRightInd/>
              <w:snapToGrid/>
              <w:ind w:left="0" w:firstLine="356" w:firstLineChars="200"/>
              <w:jc w:val="left"/>
              <w:textAlignment w:val="auto"/>
              <w:rPr>
                <w:rFonts w:hint="eastAsia" w:ascii="宋体" w:hAnsi="宋体" w:eastAsia="宋体" w:cs="Times New Roman"/>
                <w:spacing w:val="-1"/>
                <w:sz w:val="18"/>
                <w:szCs w:val="16"/>
                <w:lang w:val="en-US" w:eastAsia="zh-CN"/>
              </w:rPr>
            </w:pPr>
            <w:r>
              <w:rPr>
                <w:rFonts w:hint="eastAsia" w:ascii="宋体" w:hAnsi="宋体" w:eastAsia="宋体" w:cs="Times New Roman"/>
                <w:spacing w:val="-1"/>
                <w:sz w:val="18"/>
                <w:szCs w:val="16"/>
                <w:lang w:val="en-US" w:eastAsia="zh-CN"/>
              </w:rPr>
              <w:t>信都至梧州高速公路一期工程路线起于贺州市八步区信都镇上洞，起点设置上洞枢纽互通接广贺高速公路，往南沿林洞河布线，在仁义镇东北面(K7+200)设置仁义互通，利用信都镇规划和仁义镇规划间预留的高速公路走廊通过，跨越林洞河，经黎屋、凤步、在沙帽附近(AK16+650)设置信都南互通，右拐进入黄沙冲后进入白南林场，连续设置白南一号、二号、三号隧道，终于白南林场阳爽站附近，与信都至梧州高速公路二期工程起点对接，推荐方案路线长 21.9km。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spacing w:val="0"/>
                <w:w w:val="100"/>
                <w:position w:val="0"/>
                <w:sz w:val="21"/>
                <w:szCs w:val="21"/>
                <w:lang w:val="en-US" w:eastAsia="zh-CN"/>
              </w:rPr>
            </w:pPr>
            <w:r>
              <w:rPr>
                <w:rFonts w:hint="eastAsia" w:ascii="宋体" w:hAnsi="宋体" w:eastAsia="宋体" w:cs="宋体"/>
                <w:b w:val="0"/>
                <w:bCs w:val="0"/>
                <w:spacing w:val="0"/>
                <w:w w:val="100"/>
                <w:position w:val="0"/>
                <w:sz w:val="21"/>
                <w:szCs w:val="21"/>
                <w:lang w:val="en-US" w:eastAsia="zh-CN"/>
              </w:rPr>
              <w:t>1.</w:t>
            </w:r>
            <w:r>
              <w:rPr>
                <w:rFonts w:hint="eastAsia" w:cs="宋体"/>
                <w:b w:val="0"/>
                <w:bCs w:val="0"/>
                <w:spacing w:val="0"/>
                <w:w w:val="100"/>
                <w:position w:val="0"/>
                <w:sz w:val="21"/>
                <w:szCs w:val="21"/>
                <w:lang w:val="en-US" w:eastAsia="zh-CN"/>
              </w:rPr>
              <w:t>7</w:t>
            </w:r>
          </w:p>
        </w:tc>
        <w:tc>
          <w:tcPr>
            <w:tcW w:w="41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sz w:val="21"/>
                <w:szCs w:val="21"/>
                <w:lang w:val="en-US" w:eastAsia="zh-CN"/>
              </w:rPr>
            </w:pPr>
            <w:r>
              <w:rPr>
                <w:rFonts w:hint="eastAsia"/>
                <w:sz w:val="21"/>
                <w:szCs w:val="21"/>
                <w:lang w:val="en-US" w:eastAsia="zh-CN"/>
              </w:rPr>
              <w:t>广西交科集团有限公司</w:t>
            </w:r>
          </w:p>
        </w:tc>
        <w:tc>
          <w:tcPr>
            <w:tcW w:w="50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sz w:val="21"/>
                <w:szCs w:val="21"/>
                <w:lang w:val="en-US" w:eastAsia="zh-CN"/>
              </w:rPr>
            </w:pPr>
            <w:r>
              <w:rPr>
                <w:rFonts w:hint="eastAsia"/>
                <w:sz w:val="21"/>
                <w:szCs w:val="21"/>
                <w:lang w:val="en-US" w:eastAsia="zh-CN"/>
              </w:rPr>
              <w:t>信都至梧州高速公路二期工程设计施工总承包机电工程交工验收前质量检定</w:t>
            </w:r>
          </w:p>
        </w:tc>
        <w:tc>
          <w:tcPr>
            <w:tcW w:w="505"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46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547"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2022年8月1日</w:t>
            </w:r>
          </w:p>
        </w:tc>
        <w:tc>
          <w:tcPr>
            <w:tcW w:w="2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firstLine="416" w:firstLineChars="200"/>
              <w:jc w:val="left"/>
              <w:textAlignment w:val="auto"/>
              <w:rPr>
                <w:rFonts w:hint="eastAsia" w:ascii="宋体" w:hAnsi="宋体" w:eastAsia="宋体" w:cs="Times New Roman"/>
                <w:spacing w:val="-1"/>
                <w:sz w:val="21"/>
                <w:szCs w:val="20"/>
                <w:lang w:val="en-US" w:eastAsia="zh-CN"/>
              </w:rPr>
            </w:pPr>
            <w:r>
              <w:rPr>
                <w:rFonts w:hint="eastAsia" w:ascii="宋体" w:hAnsi="宋体" w:eastAsia="宋体" w:cs="Times New Roman"/>
                <w:spacing w:val="-1"/>
                <w:sz w:val="21"/>
                <w:szCs w:val="20"/>
                <w:lang w:val="en-US" w:eastAsia="zh-CN"/>
              </w:rPr>
              <w:t>本次检测主要为二期项目机电工程的交工检测，主要对机电工程（包含监控设施、通信设施、收费设施、供配电设施、照明设施、隧道机电设施）等分部工程的各机电系统使用功能进行现场测试，逐项进行系统技术指标的测试，并出具检测报告。</w:t>
            </w:r>
          </w:p>
          <w:p>
            <w:pPr>
              <w:keepNext w:val="0"/>
              <w:keepLines w:val="0"/>
              <w:pageBreakBefore w:val="0"/>
              <w:widowControl w:val="0"/>
              <w:kinsoku/>
              <w:wordWrap/>
              <w:overflowPunct/>
              <w:topLinePunct w:val="0"/>
              <w:autoSpaceDE/>
              <w:autoSpaceDN/>
              <w:bidi w:val="0"/>
              <w:adjustRightInd/>
              <w:snapToGrid/>
              <w:ind w:left="0" w:firstLine="356" w:firstLineChars="200"/>
              <w:jc w:val="left"/>
              <w:textAlignment w:val="auto"/>
              <w:rPr>
                <w:rFonts w:hint="eastAsia" w:ascii="宋体" w:hAnsi="宋体" w:eastAsia="宋体" w:cs="Times New Roman"/>
                <w:spacing w:val="-1"/>
                <w:sz w:val="18"/>
                <w:szCs w:val="16"/>
                <w:lang w:val="en-US" w:eastAsia="zh-CN"/>
              </w:rPr>
            </w:pPr>
            <w:r>
              <w:rPr>
                <w:rFonts w:hint="eastAsia" w:ascii="宋体" w:hAnsi="宋体" w:eastAsia="宋体" w:cs="Times New Roman"/>
                <w:spacing w:val="-1"/>
                <w:sz w:val="18"/>
                <w:szCs w:val="16"/>
                <w:lang w:val="en-US" w:eastAsia="zh-CN"/>
              </w:rPr>
              <w:t>信都至梧州高速公路全长约 75 公里，起点位于贺州市八步区信都镇上洞附近，与广贺高速公路连接，途径贺州市信都镇、仁义镇、梧州市苍梧县石桥镇、梨埠镇、旺甫镇，终于旺甫镇古塝村附近，与梧州环城高速公路连接，路线大致南北走向。</w:t>
            </w:r>
          </w:p>
          <w:p>
            <w:pPr>
              <w:keepNext w:val="0"/>
              <w:keepLines w:val="0"/>
              <w:pageBreakBefore w:val="0"/>
              <w:widowControl w:val="0"/>
              <w:kinsoku/>
              <w:wordWrap/>
              <w:overflowPunct/>
              <w:topLinePunct w:val="0"/>
              <w:autoSpaceDE/>
              <w:autoSpaceDN/>
              <w:bidi w:val="0"/>
              <w:adjustRightInd/>
              <w:snapToGrid/>
              <w:ind w:left="0" w:firstLine="356" w:firstLineChars="200"/>
              <w:jc w:val="left"/>
              <w:textAlignment w:val="auto"/>
              <w:rPr>
                <w:rFonts w:hint="default" w:ascii="宋体" w:hAnsi="宋体" w:eastAsia="宋体" w:cs="Times New Roman"/>
                <w:spacing w:val="-1"/>
                <w:sz w:val="18"/>
                <w:szCs w:val="16"/>
                <w:lang w:val="en-US" w:eastAsia="zh-CN"/>
              </w:rPr>
            </w:pPr>
            <w:r>
              <w:rPr>
                <w:rFonts w:hint="eastAsia" w:ascii="宋体" w:hAnsi="宋体" w:eastAsia="宋体" w:cs="Times New Roman"/>
                <w:spacing w:val="-1"/>
                <w:sz w:val="18"/>
                <w:szCs w:val="16"/>
                <w:lang w:val="en-US" w:eastAsia="zh-CN"/>
              </w:rPr>
              <w:t>信都至梧州高速公路二期工程路线起于梧州市苍梧县白南林场，接信梧高速二期工程终点，在苍梧县石桥镇镇设置苍梧互通，自北向南，经过梨埠镇，设置梨埠互通，路线继续向南布设，在旺甫镇老义村设置旺甫北互通，终点与梧州环城高速相接，设置古塝枢纽互通，推荐方案路线长 52.818km。</w:t>
            </w:r>
          </w:p>
        </w:tc>
      </w:tr>
    </w:tbl>
    <w:p>
      <w:pPr>
        <w:spacing w:before="5" w:line="240" w:lineRule="auto"/>
        <w:rPr>
          <w:rFonts w:hint="eastAsia" w:ascii="宋体" w:hAnsi="宋体" w:eastAsia="宋体" w:cs="宋体"/>
          <w:b w:val="0"/>
          <w:bCs w:val="0"/>
          <w:spacing w:val="0"/>
          <w:w w:val="100"/>
          <w:position w:val="0"/>
          <w:sz w:val="20"/>
          <w:szCs w:val="20"/>
        </w:rPr>
      </w:pPr>
    </w:p>
    <w:p>
      <w:pPr>
        <w:keepNext w:val="0"/>
        <w:keepLines w:val="0"/>
        <w:pageBreakBefore w:val="0"/>
        <w:widowControl w:val="0"/>
        <w:kinsoku/>
        <w:wordWrap/>
        <w:overflowPunct/>
        <w:topLinePunct w:val="0"/>
        <w:autoSpaceDE/>
        <w:autoSpaceDN/>
        <w:bidi w:val="0"/>
        <w:adjustRightInd/>
        <w:snapToGrid/>
        <w:spacing w:before="0" w:line="341" w:lineRule="exact"/>
        <w:ind w:right="0"/>
        <w:jc w:val="left"/>
        <w:textAlignment w:val="auto"/>
        <w:rPr>
          <w:rFonts w:hint="eastAsia" w:ascii="宋体" w:hAnsi="宋体" w:eastAsia="宋体" w:cs="宋体"/>
          <w:spacing w:val="0"/>
          <w:w w:val="100"/>
          <w:position w:val="0"/>
          <w:sz w:val="20"/>
          <w:szCs w:val="20"/>
        </w:rPr>
      </w:pPr>
      <w:r>
        <w:rPr>
          <w:rFonts w:hint="eastAsia" w:ascii="宋体" w:hAnsi="宋体" w:eastAsia="宋体" w:cs="宋体"/>
          <w:b w:val="0"/>
          <w:bCs w:val="0"/>
          <w:spacing w:val="0"/>
          <w:w w:val="100"/>
          <w:position w:val="0"/>
          <w:sz w:val="20"/>
          <w:szCs w:val="20"/>
        </w:rPr>
        <w:t>注：1.投标人提供的业绩证明材料为：合同协议书（若合同协议书无法完整的反映其招标文件资格审查条件及评标办法中相关评审要求的内容，还须补充提供项目业主出具的证明材料或验收证书进行补充和完善）；若未出具证明材料或证明材料不全或所要求的信息描述不清晰不能与所证明的内容相匹配，造成业绩或其他内容不予认可时，投标人自行承担相关责任。</w:t>
      </w:r>
    </w:p>
    <w:p>
      <w:pPr>
        <w:keepNext w:val="0"/>
        <w:keepLines w:val="0"/>
        <w:pageBreakBefore w:val="0"/>
        <w:widowControl w:val="0"/>
        <w:kinsoku/>
        <w:wordWrap/>
        <w:overflowPunct/>
        <w:topLinePunct w:val="0"/>
        <w:autoSpaceDE/>
        <w:autoSpaceDN/>
        <w:bidi w:val="0"/>
        <w:adjustRightInd/>
        <w:snapToGrid/>
        <w:spacing w:before="10" w:line="264" w:lineRule="auto"/>
        <w:ind w:left="0" w:right="0" w:firstLine="400" w:firstLineChars="200"/>
        <w:jc w:val="left"/>
        <w:textAlignment w:val="auto"/>
        <w:rPr>
          <w:rFonts w:hint="eastAsia" w:ascii="宋体" w:hAnsi="宋体" w:eastAsia="宋体" w:cs="宋体"/>
          <w:spacing w:val="0"/>
          <w:w w:val="100"/>
          <w:position w:val="0"/>
          <w:sz w:val="20"/>
          <w:szCs w:val="20"/>
        </w:rPr>
      </w:pPr>
      <w:r>
        <w:rPr>
          <w:rFonts w:hint="eastAsia" w:ascii="宋体" w:hAnsi="宋体" w:eastAsia="宋体" w:cs="宋体"/>
          <w:b w:val="0"/>
          <w:bCs w:val="0"/>
          <w:spacing w:val="0"/>
          <w:w w:val="100"/>
          <w:position w:val="0"/>
          <w:sz w:val="20"/>
          <w:szCs w:val="20"/>
        </w:rPr>
        <w:t>2．如近年来，投标人法人机构发生合法变更或重组或法人名称变更时，应提供相关部门的合法批件或其他相关证明材料来证明其所附业绩的继承性。</w:t>
      </w:r>
    </w:p>
    <w:p>
      <w:pPr>
        <w:keepNext w:val="0"/>
        <w:keepLines w:val="0"/>
        <w:pageBreakBefore w:val="0"/>
        <w:widowControl w:val="0"/>
        <w:kinsoku/>
        <w:wordWrap/>
        <w:overflowPunct/>
        <w:topLinePunct w:val="0"/>
        <w:autoSpaceDE/>
        <w:autoSpaceDN/>
        <w:bidi w:val="0"/>
        <w:adjustRightInd/>
        <w:snapToGrid/>
        <w:spacing w:before="10"/>
        <w:ind w:left="0" w:right="0" w:firstLine="400" w:firstLineChars="200"/>
        <w:jc w:val="left"/>
        <w:textAlignment w:val="auto"/>
        <w:rPr>
          <w:rFonts w:hint="eastAsia" w:ascii="宋体" w:hAnsi="宋体" w:eastAsia="宋体" w:cs="宋体"/>
          <w:spacing w:val="0"/>
          <w:w w:val="100"/>
          <w:position w:val="0"/>
          <w:sz w:val="20"/>
          <w:szCs w:val="20"/>
        </w:rPr>
      </w:pPr>
      <w:r>
        <w:rPr>
          <w:rFonts w:hint="eastAsia" w:ascii="宋体" w:hAnsi="宋体" w:eastAsia="宋体" w:cs="宋体"/>
          <w:b w:val="0"/>
          <w:bCs w:val="0"/>
          <w:spacing w:val="0"/>
          <w:w w:val="100"/>
          <w:position w:val="0"/>
          <w:sz w:val="20"/>
          <w:szCs w:val="20"/>
        </w:rPr>
        <w:t>3．表中的“批复日期”填写的格式统一以阿拉伯数字表示。如：2013年5月1日，填写为20130501；2013年5月，填写为201305。</w:t>
      </w:r>
    </w:p>
    <w:p>
      <w:pPr>
        <w:keepNext w:val="0"/>
        <w:keepLines w:val="0"/>
        <w:pageBreakBefore w:val="0"/>
        <w:widowControl w:val="0"/>
        <w:kinsoku/>
        <w:wordWrap/>
        <w:overflowPunct/>
        <w:topLinePunct w:val="0"/>
        <w:autoSpaceDE/>
        <w:autoSpaceDN/>
        <w:bidi w:val="0"/>
        <w:adjustRightInd/>
        <w:snapToGrid/>
        <w:spacing w:before="38" w:line="264" w:lineRule="auto"/>
        <w:ind w:left="0" w:right="0" w:firstLine="400" w:firstLineChars="200"/>
        <w:jc w:val="left"/>
        <w:textAlignment w:val="auto"/>
        <w:rPr>
          <w:rFonts w:hint="eastAsia" w:ascii="宋体" w:hAnsi="宋体" w:eastAsia="宋体" w:cs="宋体"/>
          <w:spacing w:val="0"/>
          <w:w w:val="100"/>
          <w:position w:val="0"/>
          <w:sz w:val="20"/>
          <w:szCs w:val="20"/>
        </w:rPr>
      </w:pPr>
      <w:r>
        <w:rPr>
          <w:rFonts w:hint="eastAsia" w:ascii="宋体" w:hAnsi="宋体" w:eastAsia="宋体" w:cs="宋体"/>
          <w:b w:val="0"/>
          <w:bCs w:val="0"/>
          <w:spacing w:val="0"/>
          <w:w w:val="100"/>
          <w:position w:val="0"/>
          <w:sz w:val="20"/>
          <w:szCs w:val="20"/>
        </w:rPr>
        <w:t>4.本表word格式电子文档（U盘）（不含相关证明材料）作为公示资料在四川高速公路建设开发集团有限公司网站（https://</w:t>
      </w:r>
      <w:r>
        <w:rPr>
          <w:rFonts w:hint="eastAsia" w:ascii="宋体" w:hAnsi="宋体" w:eastAsia="宋体" w:cs="宋体"/>
          <w:spacing w:val="0"/>
          <w:w w:val="100"/>
          <w:position w:val="0"/>
          <w:sz w:val="20"/>
          <w:szCs w:val="20"/>
        </w:rPr>
        <w:fldChar w:fldCharType="begin"/>
      </w:r>
      <w:r>
        <w:rPr>
          <w:rFonts w:hint="eastAsia" w:ascii="宋体" w:hAnsi="宋体" w:eastAsia="宋体" w:cs="宋体"/>
          <w:spacing w:val="0"/>
          <w:w w:val="100"/>
          <w:position w:val="0"/>
          <w:sz w:val="20"/>
          <w:szCs w:val="20"/>
        </w:rPr>
        <w:instrText xml:space="preserve"> HYPERLINK "http://www.scgs.com.cn/" \h </w:instrText>
      </w:r>
      <w:r>
        <w:rPr>
          <w:rFonts w:hint="eastAsia" w:ascii="宋体" w:hAnsi="宋体" w:eastAsia="宋体" w:cs="宋体"/>
          <w:spacing w:val="0"/>
          <w:w w:val="100"/>
          <w:position w:val="0"/>
          <w:sz w:val="20"/>
          <w:szCs w:val="20"/>
        </w:rPr>
        <w:fldChar w:fldCharType="separate"/>
      </w:r>
      <w:r>
        <w:rPr>
          <w:rFonts w:hint="eastAsia" w:ascii="宋体" w:hAnsi="宋体" w:eastAsia="宋体" w:cs="宋体"/>
          <w:b w:val="0"/>
          <w:bCs w:val="0"/>
          <w:spacing w:val="0"/>
          <w:w w:val="100"/>
          <w:position w:val="0"/>
          <w:sz w:val="20"/>
          <w:szCs w:val="20"/>
        </w:rPr>
        <w:t>www.scgs.com.cn/</w:t>
      </w:r>
      <w:r>
        <w:rPr>
          <w:rFonts w:hint="eastAsia" w:ascii="宋体" w:hAnsi="宋体" w:eastAsia="宋体" w:cs="宋体"/>
          <w:b w:val="0"/>
          <w:bCs w:val="0"/>
          <w:spacing w:val="0"/>
          <w:w w:val="100"/>
          <w:position w:val="0"/>
          <w:sz w:val="20"/>
          <w:szCs w:val="20"/>
        </w:rPr>
        <w:fldChar w:fldCharType="end"/>
      </w:r>
      <w:r>
        <w:rPr>
          <w:rFonts w:hint="eastAsia" w:ascii="宋体" w:hAnsi="宋体" w:eastAsia="宋体" w:cs="宋体"/>
          <w:b w:val="0"/>
          <w:bCs w:val="0"/>
          <w:spacing w:val="0"/>
          <w:w w:val="100"/>
          <w:position w:val="0"/>
          <w:sz w:val="20"/>
          <w:szCs w:val="20"/>
        </w:rPr>
        <w:t>）上公示，公示期间接收社会公开监督，投标人应确保公示资料word电子文档与投标文件中相应内容一致，否则以投标文件为准进行公示。</w:t>
      </w:r>
    </w:p>
    <w:p>
      <w:pP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br w:type="page"/>
      </w:r>
    </w:p>
    <w:p>
      <w:pPr>
        <w:pStyle w:val="4"/>
        <w:bidi w:val="0"/>
        <w:rPr>
          <w:rFonts w:hint="eastAsia" w:ascii="宋体" w:hAnsi="宋体" w:eastAsia="宋体" w:cs="宋体"/>
          <w:b/>
          <w:bCs/>
          <w:spacing w:val="0"/>
          <w:w w:val="100"/>
          <w:position w:val="0"/>
        </w:rPr>
      </w:pPr>
      <w:bookmarkStart w:id="2" w:name="_Toc22482"/>
      <w:bookmarkStart w:id="4" w:name="_GoBack"/>
      <w:bookmarkEnd w:id="4"/>
      <w:r>
        <w:rPr>
          <w:rFonts w:hint="eastAsia" w:ascii="宋体" w:hAnsi="宋体" w:eastAsia="宋体" w:cs="宋体"/>
          <w:b/>
          <w:bCs/>
          <w:spacing w:val="0"/>
          <w:w w:val="100"/>
          <w:position w:val="0"/>
        </w:rPr>
        <w:t>（四）拟委任的主要人员资历表</w:t>
      </w:r>
      <w:bookmarkEnd w:id="2"/>
    </w:p>
    <w:p>
      <w:pPr>
        <w:pStyle w:val="5"/>
        <w:bidi w:val="0"/>
        <w:rPr>
          <w:rFonts w:hint="eastAsia"/>
        </w:rPr>
      </w:pPr>
      <w:bookmarkStart w:id="3" w:name="_Toc27200"/>
      <w:r>
        <w:rPr>
          <w:rFonts w:hint="eastAsia"/>
        </w:rPr>
        <w:t>项目负责人资历情况表1</w:t>
      </w:r>
      <w:bookmarkEnd w:id="3"/>
    </w:p>
    <w:tbl>
      <w:tblPr>
        <w:tblStyle w:val="7"/>
        <w:tblW w:w="5005" w:type="pct"/>
        <w:tblInd w:w="0" w:type="dxa"/>
        <w:tblLayout w:type="autofit"/>
        <w:tblCellMar>
          <w:top w:w="0" w:type="dxa"/>
          <w:left w:w="0" w:type="dxa"/>
          <w:bottom w:w="0" w:type="dxa"/>
          <w:right w:w="0" w:type="dxa"/>
        </w:tblCellMar>
      </w:tblPr>
      <w:tblGrid>
        <w:gridCol w:w="1146"/>
        <w:gridCol w:w="745"/>
        <w:gridCol w:w="621"/>
        <w:gridCol w:w="283"/>
        <w:gridCol w:w="723"/>
        <w:gridCol w:w="924"/>
        <w:gridCol w:w="693"/>
        <w:gridCol w:w="1002"/>
        <w:gridCol w:w="1650"/>
        <w:gridCol w:w="1979"/>
      </w:tblGrid>
      <w:tr>
        <w:tblPrEx>
          <w:tblCellMar>
            <w:top w:w="0" w:type="dxa"/>
            <w:left w:w="0" w:type="dxa"/>
            <w:bottom w:w="0" w:type="dxa"/>
            <w:right w:w="0" w:type="dxa"/>
          </w:tblCellMar>
        </w:tblPrEx>
        <w:trPr>
          <w:trHeight w:val="567" w:hRule="atLeast"/>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基本信息</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姓名</w:t>
            </w:r>
          </w:p>
        </w:tc>
        <w:tc>
          <w:tcPr>
            <w:tcW w:w="121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张月莹</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年龄</w:t>
            </w:r>
          </w:p>
        </w:tc>
        <w:tc>
          <w:tcPr>
            <w:tcW w:w="868"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37</w:t>
            </w:r>
          </w:p>
        </w:tc>
        <w:tc>
          <w:tcPr>
            <w:tcW w:w="845"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身份证号码</w:t>
            </w:r>
          </w:p>
        </w:tc>
        <w:tc>
          <w:tcPr>
            <w:tcW w:w="10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21012219850701062X</w:t>
            </w:r>
          </w:p>
        </w:tc>
      </w:tr>
      <w:tr>
        <w:tblPrEx>
          <w:tblCellMar>
            <w:top w:w="0" w:type="dxa"/>
            <w:left w:w="0" w:type="dxa"/>
            <w:bottom w:w="0" w:type="dxa"/>
            <w:right w:w="0" w:type="dxa"/>
          </w:tblCellMar>
        </w:tblPrEx>
        <w:trPr>
          <w:trHeight w:val="534"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技术职称</w:t>
            </w:r>
          </w:p>
        </w:tc>
        <w:tc>
          <w:tcPr>
            <w:tcW w:w="2555" w:type="pct"/>
            <w:gridSpan w:val="7"/>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高级工程师</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□教授级高级工程师</w:t>
            </w:r>
          </w:p>
        </w:tc>
        <w:tc>
          <w:tcPr>
            <w:tcW w:w="845"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证书编号</w:t>
            </w:r>
          </w:p>
        </w:tc>
        <w:tc>
          <w:tcPr>
            <w:tcW w:w="10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G3300286544</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专业技术 证书</w:t>
            </w:r>
          </w:p>
        </w:tc>
        <w:tc>
          <w:tcPr>
            <w:tcW w:w="1213" w:type="pct"/>
            <w:gridSpan w:val="4"/>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试验检测工程师证书</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□试验检测师职业资格证书</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专业</w:t>
            </w:r>
          </w:p>
        </w:tc>
        <w:tc>
          <w:tcPr>
            <w:tcW w:w="868"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□交通工程专业</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机电工程专业</w:t>
            </w:r>
          </w:p>
        </w:tc>
        <w:tc>
          <w:tcPr>
            <w:tcW w:w="845"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证书编号</w:t>
            </w:r>
          </w:p>
        </w:tc>
        <w:tc>
          <w:tcPr>
            <w:tcW w:w="10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（公路）检师1348331J</w:t>
            </w:r>
          </w:p>
        </w:tc>
      </w:tr>
      <w:tr>
        <w:tblPrEx>
          <w:tblCellMar>
            <w:top w:w="0" w:type="dxa"/>
            <w:left w:w="0" w:type="dxa"/>
            <w:bottom w:w="0" w:type="dxa"/>
            <w:right w:w="0" w:type="dxa"/>
          </w:tblCellMar>
        </w:tblPrEx>
        <w:trPr>
          <w:trHeight w:val="567" w:hRule="atLeast"/>
        </w:trPr>
        <w:tc>
          <w:tcPr>
            <w:tcW w:w="1286" w:type="pct"/>
            <w:gridSpan w:val="3"/>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是否要求提供社保资料</w:t>
            </w:r>
          </w:p>
        </w:tc>
        <w:tc>
          <w:tcPr>
            <w:tcW w:w="515"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lang w:eastAsia="zh-CN"/>
              </w:rPr>
              <w:sym w:font="Wingdings 2" w:char="0052"/>
            </w:r>
            <w:r>
              <w:rPr>
                <w:rFonts w:hint="eastAsia" w:ascii="宋体" w:hAnsi="宋体" w:eastAsia="宋体" w:cs="宋体"/>
                <w:b w:val="0"/>
                <w:bCs w:val="0"/>
                <w:spacing w:val="0"/>
                <w:w w:val="100"/>
                <w:position w:val="0"/>
                <w:sz w:val="21"/>
                <w:szCs w:val="21"/>
              </w:rPr>
              <w:t>是</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□否</w:t>
            </w:r>
          </w:p>
        </w:tc>
        <w:tc>
          <w:tcPr>
            <w:tcW w:w="1341" w:type="pct"/>
            <w:gridSpan w:val="3"/>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提供社保时间段</w:t>
            </w:r>
          </w:p>
        </w:tc>
        <w:tc>
          <w:tcPr>
            <w:tcW w:w="1856"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tabs>
                <w:tab w:val="left" w:pos="1553"/>
                <w:tab w:val="left" w:pos="1764"/>
                <w:tab w:val="left" w:pos="2619"/>
              </w:tabs>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u w:val="single"/>
                <w:lang w:val="en-US" w:eastAsia="zh-CN"/>
              </w:rPr>
              <w:t>202</w:t>
            </w:r>
            <w:r>
              <w:rPr>
                <w:rFonts w:hint="eastAsia" w:cs="宋体"/>
                <w:b w:val="0"/>
                <w:bCs w:val="0"/>
                <w:spacing w:val="0"/>
                <w:w w:val="100"/>
                <w:position w:val="0"/>
                <w:sz w:val="21"/>
                <w:szCs w:val="21"/>
                <w:u w:val="single"/>
                <w:lang w:val="en-US" w:eastAsia="zh-CN"/>
              </w:rPr>
              <w:t>1</w:t>
            </w:r>
            <w:r>
              <w:rPr>
                <w:rFonts w:hint="eastAsia" w:ascii="宋体" w:hAnsi="宋体" w:eastAsia="宋体" w:cs="宋体"/>
                <w:b w:val="0"/>
                <w:bCs w:val="0"/>
                <w:spacing w:val="0"/>
                <w:w w:val="100"/>
                <w:position w:val="0"/>
                <w:sz w:val="21"/>
                <w:szCs w:val="21"/>
              </w:rPr>
              <w:t>年</w:t>
            </w:r>
            <w:r>
              <w:rPr>
                <w:rFonts w:hint="eastAsia" w:cs="宋体"/>
                <w:spacing w:val="0"/>
                <w:w w:val="100"/>
                <w:position w:val="0"/>
                <w:sz w:val="21"/>
                <w:szCs w:val="21"/>
                <w:u w:val="single" w:color="000000"/>
                <w:lang w:val="en-US" w:eastAsia="zh-CN"/>
              </w:rPr>
              <w:t>4</w:t>
            </w:r>
            <w:r>
              <w:rPr>
                <w:rFonts w:hint="eastAsia" w:ascii="宋体" w:hAnsi="宋体" w:eastAsia="宋体" w:cs="宋体"/>
                <w:b w:val="0"/>
                <w:bCs w:val="0"/>
                <w:spacing w:val="0"/>
                <w:w w:val="100"/>
                <w:position w:val="0"/>
                <w:sz w:val="21"/>
                <w:szCs w:val="21"/>
              </w:rPr>
              <w:t>月  ～</w:t>
            </w:r>
            <w:r>
              <w:rPr>
                <w:rFonts w:hint="eastAsia" w:ascii="宋体" w:hAnsi="宋体" w:eastAsia="宋体" w:cs="宋体"/>
                <w:spacing w:val="0"/>
                <w:w w:val="100"/>
                <w:position w:val="0"/>
                <w:sz w:val="21"/>
                <w:szCs w:val="21"/>
                <w:u w:val="single" w:color="000000"/>
                <w:lang w:val="en-US" w:eastAsia="zh-CN"/>
              </w:rPr>
              <w:t>2022</w:t>
            </w:r>
            <w:r>
              <w:rPr>
                <w:rFonts w:hint="eastAsia" w:ascii="宋体" w:hAnsi="宋体" w:eastAsia="宋体" w:cs="宋体"/>
                <w:b w:val="0"/>
                <w:bCs w:val="0"/>
                <w:spacing w:val="0"/>
                <w:w w:val="100"/>
                <w:position w:val="0"/>
                <w:sz w:val="21"/>
                <w:szCs w:val="21"/>
              </w:rPr>
              <w:t>年</w:t>
            </w:r>
            <w:r>
              <w:rPr>
                <w:rFonts w:hint="eastAsia" w:ascii="宋体" w:hAnsi="宋体" w:eastAsia="宋体" w:cs="宋体"/>
                <w:spacing w:val="0"/>
                <w:w w:val="100"/>
                <w:position w:val="0"/>
                <w:sz w:val="21"/>
                <w:szCs w:val="21"/>
                <w:u w:val="single" w:color="000000"/>
                <w:lang w:val="en-US" w:eastAsia="zh-CN"/>
              </w:rPr>
              <w:t>11</w:t>
            </w:r>
            <w:r>
              <w:rPr>
                <w:rFonts w:hint="eastAsia" w:ascii="宋体" w:hAnsi="宋体" w:eastAsia="宋体" w:cs="宋体"/>
                <w:b w:val="0"/>
                <w:bCs w:val="0"/>
                <w:spacing w:val="0"/>
                <w:w w:val="100"/>
                <w:position w:val="0"/>
                <w:sz w:val="21"/>
                <w:szCs w:val="21"/>
              </w:rPr>
              <w:t>月</w:t>
            </w:r>
          </w:p>
        </w:tc>
      </w:tr>
      <w:tr>
        <w:tblPrEx>
          <w:tblCellMar>
            <w:top w:w="0" w:type="dxa"/>
            <w:left w:w="0" w:type="dxa"/>
            <w:bottom w:w="0" w:type="dxa"/>
            <w:right w:w="0" w:type="dxa"/>
          </w:tblCellMar>
        </w:tblPrEx>
        <w:trPr>
          <w:trHeight w:val="567" w:hRule="atLeast"/>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担任相应职务完成业绩情况</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项目业主</w:t>
            </w:r>
          </w:p>
        </w:tc>
        <w:tc>
          <w:tcPr>
            <w:tcW w:w="381"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项目名称</w:t>
            </w:r>
          </w:p>
        </w:tc>
        <w:tc>
          <w:tcPr>
            <w:tcW w:w="463"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建设形式</w:t>
            </w:r>
          </w:p>
        </w:tc>
        <w:tc>
          <w:tcPr>
            <w:tcW w:w="368"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工作岗位</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服务阶段</w:t>
            </w:r>
          </w:p>
        </w:tc>
        <w:tc>
          <w:tcPr>
            <w:tcW w:w="355"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合同协议书签订时间</w:t>
            </w:r>
          </w:p>
        </w:tc>
        <w:tc>
          <w:tcPr>
            <w:tcW w:w="2369" w:type="pct"/>
            <w:gridSpan w:val="3"/>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服务内容及项目主要工程概述</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温州市文泰高速公路有限公司</w:t>
            </w:r>
          </w:p>
        </w:tc>
        <w:tc>
          <w:tcPr>
            <w:tcW w:w="38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z w:val="21"/>
                <w:szCs w:val="21"/>
              </w:rPr>
              <w:t>浙江省文成至泰顺（浙闽界）公路第WTJJG-2标段试验检测标段</w:t>
            </w:r>
          </w:p>
        </w:tc>
        <w:tc>
          <w:tcPr>
            <w:tcW w:w="463"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3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项目负责人</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35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2021年3月30日</w:t>
            </w:r>
          </w:p>
        </w:tc>
        <w:tc>
          <w:tcPr>
            <w:tcW w:w="2369"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监控设施、通信设施、收费设施、低压配电设施、照明设施、隧道机电设施竣（交）工质量评定检测</w:t>
            </w:r>
            <w:r>
              <w:rPr>
                <w:rFonts w:hint="eastAsia" w:ascii="宋体" w:hAnsi="宋体" w:eastAsia="宋体" w:cs="宋体"/>
                <w:sz w:val="21"/>
                <w:szCs w:val="21"/>
                <w:lang w:eastAsia="zh-CN"/>
              </w:rPr>
              <w:t>。</w:t>
            </w:r>
          </w:p>
          <w:p>
            <w:pPr>
              <w:pStyle w:val="2"/>
              <w:ind w:left="101" w:leftChars="0" w:firstLine="0" w:firstLineChars="0"/>
              <w:rPr>
                <w:rFonts w:hint="eastAsia" w:ascii="宋体" w:hAnsi="宋体" w:eastAsia="宋体" w:cs="宋体"/>
                <w:spacing w:val="0"/>
                <w:w w:val="100"/>
                <w:position w:val="0"/>
                <w:sz w:val="21"/>
                <w:szCs w:val="21"/>
              </w:rPr>
            </w:pPr>
            <w:r>
              <w:rPr>
                <w:rFonts w:hint="eastAsia" w:ascii="宋体" w:hAnsi="宋体" w:eastAsia="宋体" w:cs="宋体"/>
                <w:spacing w:val="-1"/>
                <w:sz w:val="18"/>
                <w:szCs w:val="18"/>
              </w:rPr>
              <w:t>本项目起于文成县樟台，设文成枢纽与在建的龙丽温高速公路文成至瑞安段及规划建设的景宁至文成段实现交通转换，路线经文成县峃口镇、大峃镇、巨屿镇和珊溪镇后，进入泰顺县南浦溪镇、筱村镇和罗阳镇，终于浙闽交界已建的福建省福寿高速友谊大桥附近。主线路线全长 55.963km，其中文成段路线长 22.604km，泰顺段长33.359km。</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spacing w:val="-1"/>
                <w:sz w:val="21"/>
                <w:szCs w:val="21"/>
              </w:rPr>
              <w:t>浙江</w:t>
            </w:r>
            <w:r>
              <w:rPr>
                <w:rFonts w:ascii="宋体" w:hAnsi="宋体" w:eastAsia="宋体"/>
                <w:spacing w:val="-1"/>
                <w:sz w:val="21"/>
                <w:szCs w:val="21"/>
              </w:rPr>
              <w:t>浙大中控</w:t>
            </w:r>
            <w:r>
              <w:rPr>
                <w:rFonts w:hint="eastAsia" w:ascii="宋体" w:hAnsi="宋体" w:eastAsia="宋体"/>
                <w:spacing w:val="-1"/>
                <w:sz w:val="21"/>
                <w:szCs w:val="21"/>
              </w:rPr>
              <w:t>信息</w:t>
            </w:r>
            <w:r>
              <w:rPr>
                <w:rFonts w:ascii="宋体" w:hAnsi="宋体" w:eastAsia="宋体"/>
                <w:spacing w:val="-1"/>
                <w:sz w:val="21"/>
                <w:szCs w:val="21"/>
              </w:rPr>
              <w:t>技术有限公司、</w:t>
            </w:r>
            <w:r>
              <w:rPr>
                <w:rFonts w:hint="eastAsia" w:ascii="宋体" w:hAnsi="宋体" w:eastAsia="宋体"/>
                <w:spacing w:val="-1"/>
                <w:sz w:val="21"/>
                <w:szCs w:val="21"/>
              </w:rPr>
              <w:t>山东</w:t>
            </w:r>
            <w:r>
              <w:rPr>
                <w:rFonts w:ascii="宋体" w:hAnsi="宋体" w:eastAsia="宋体"/>
                <w:spacing w:val="-1"/>
                <w:sz w:val="21"/>
                <w:szCs w:val="21"/>
              </w:rPr>
              <w:t>博安</w:t>
            </w:r>
            <w:r>
              <w:rPr>
                <w:rFonts w:hint="eastAsia" w:ascii="宋体" w:hAnsi="宋体" w:eastAsia="宋体"/>
                <w:spacing w:val="-1"/>
                <w:sz w:val="21"/>
                <w:szCs w:val="21"/>
              </w:rPr>
              <w:t>智能科技股份</w:t>
            </w:r>
            <w:r>
              <w:rPr>
                <w:rFonts w:ascii="宋体" w:hAnsi="宋体" w:eastAsia="宋体"/>
                <w:spacing w:val="-1"/>
                <w:sz w:val="21"/>
                <w:szCs w:val="21"/>
              </w:rPr>
              <w:t>有限公司</w:t>
            </w:r>
          </w:p>
        </w:tc>
        <w:tc>
          <w:tcPr>
            <w:tcW w:w="38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G25长深高速德清至富阳段扩容湖州及G25德清至G60桐乡高速联络线湖州段机电交工质量评定检测</w:t>
            </w:r>
          </w:p>
        </w:tc>
        <w:tc>
          <w:tcPr>
            <w:tcW w:w="463"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3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技术负责人</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35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2021年1月</w:t>
            </w:r>
          </w:p>
        </w:tc>
        <w:tc>
          <w:tcPr>
            <w:tcW w:w="2369"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sz w:val="21"/>
                <w:szCs w:val="21"/>
                <w:lang w:eastAsia="zh-CN"/>
              </w:rPr>
            </w:pPr>
            <w:r>
              <w:rPr>
                <w:rFonts w:hint="eastAsia"/>
                <w:sz w:val="21"/>
                <w:szCs w:val="21"/>
              </w:rPr>
              <w:t>监控</w:t>
            </w:r>
            <w:r>
              <w:rPr>
                <w:sz w:val="21"/>
                <w:szCs w:val="21"/>
              </w:rPr>
              <w:t>、</w:t>
            </w:r>
            <w:r>
              <w:rPr>
                <w:rFonts w:hint="eastAsia"/>
                <w:sz w:val="21"/>
                <w:szCs w:val="21"/>
              </w:rPr>
              <w:t>通信</w:t>
            </w:r>
            <w:r>
              <w:rPr>
                <w:sz w:val="21"/>
                <w:szCs w:val="21"/>
              </w:rPr>
              <w:t>、</w:t>
            </w:r>
            <w:r>
              <w:rPr>
                <w:rFonts w:hint="eastAsia"/>
                <w:sz w:val="21"/>
                <w:szCs w:val="21"/>
              </w:rPr>
              <w:t>收费</w:t>
            </w:r>
            <w:r>
              <w:rPr>
                <w:sz w:val="21"/>
                <w:szCs w:val="21"/>
              </w:rPr>
              <w:t>、</w:t>
            </w:r>
            <w:r>
              <w:rPr>
                <w:rFonts w:hint="eastAsia"/>
                <w:sz w:val="21"/>
                <w:szCs w:val="21"/>
              </w:rPr>
              <w:t>低压配电</w:t>
            </w:r>
            <w:r>
              <w:rPr>
                <w:sz w:val="21"/>
                <w:szCs w:val="21"/>
              </w:rPr>
              <w:t>、照明</w:t>
            </w:r>
            <w:r>
              <w:rPr>
                <w:rFonts w:hint="eastAsia"/>
                <w:sz w:val="21"/>
                <w:szCs w:val="21"/>
              </w:rPr>
              <w:t>、</w:t>
            </w:r>
            <w:r>
              <w:rPr>
                <w:sz w:val="21"/>
                <w:szCs w:val="21"/>
              </w:rPr>
              <w:t>隧道机电设施</w:t>
            </w:r>
            <w:r>
              <w:rPr>
                <w:rFonts w:hint="eastAsia"/>
                <w:sz w:val="21"/>
                <w:szCs w:val="21"/>
              </w:rPr>
              <w:t>交工质量检测</w:t>
            </w:r>
            <w:r>
              <w:rPr>
                <w:rFonts w:hint="eastAsia"/>
                <w:sz w:val="21"/>
                <w:szCs w:val="21"/>
                <w:lang w:eastAsia="zh-CN"/>
              </w:rPr>
              <w:t>。</w:t>
            </w:r>
          </w:p>
          <w:p>
            <w:pPr>
              <w:spacing w:line="0" w:lineRule="atLeast"/>
              <w:jc w:val="left"/>
              <w:rPr>
                <w:rFonts w:ascii="宋体" w:hAnsi="宋体" w:eastAsia="宋体"/>
                <w:spacing w:val="-1"/>
                <w:sz w:val="18"/>
                <w:szCs w:val="18"/>
              </w:rPr>
            </w:pPr>
            <w:r>
              <w:rPr>
                <w:rFonts w:hint="eastAsia" w:ascii="宋体" w:hAnsi="宋体" w:eastAsia="宋体"/>
                <w:spacing w:val="-1"/>
                <w:sz w:val="18"/>
                <w:szCs w:val="18"/>
              </w:rPr>
              <w:t>（1）G25长深高速德清至富阳段扩容湖州段</w:t>
            </w:r>
          </w:p>
          <w:p>
            <w:pPr>
              <w:spacing w:line="0" w:lineRule="atLeast"/>
              <w:ind w:firstLine="356" w:firstLineChars="200"/>
              <w:jc w:val="left"/>
              <w:rPr>
                <w:rFonts w:ascii="宋体" w:hAnsi="宋体" w:eastAsia="宋体"/>
                <w:spacing w:val="-1"/>
                <w:sz w:val="18"/>
                <w:szCs w:val="18"/>
              </w:rPr>
            </w:pPr>
            <w:r>
              <w:rPr>
                <w:rFonts w:hint="eastAsia" w:ascii="宋体" w:hAnsi="宋体" w:eastAsia="宋体"/>
                <w:spacing w:val="-1"/>
                <w:sz w:val="18"/>
                <w:szCs w:val="18"/>
              </w:rPr>
              <w:t>路线全长约26.147km。本扩容段全线采用双向六车道高速公路标准建设，设计速度100公里/小时，路基宽度33.5米。桥涵设计汽车荷载等级采用公路-Ⅰ级，其他技术指标按《公路工程技术标准》(JTG B01-2014)执行。舞阳互通式立交连接线采用二级公路标准建设。</w:t>
            </w:r>
          </w:p>
          <w:p>
            <w:pPr>
              <w:spacing w:line="0" w:lineRule="atLeast"/>
              <w:jc w:val="left"/>
              <w:rPr>
                <w:rFonts w:ascii="宋体" w:hAnsi="宋体" w:eastAsia="宋体"/>
                <w:spacing w:val="-1"/>
                <w:sz w:val="18"/>
                <w:szCs w:val="18"/>
              </w:rPr>
            </w:pPr>
            <w:r>
              <w:rPr>
                <w:rFonts w:hint="eastAsia" w:ascii="宋体" w:hAnsi="宋体" w:eastAsia="宋体"/>
                <w:spacing w:val="-1"/>
                <w:sz w:val="18"/>
                <w:szCs w:val="18"/>
              </w:rPr>
              <w:t>（2）G25德清至G60桐乡高速联络线湖州段</w:t>
            </w:r>
          </w:p>
          <w:p>
            <w:pPr>
              <w:pStyle w:val="2"/>
              <w:ind w:left="101" w:leftChars="0" w:firstLine="0" w:firstLineChars="0"/>
              <w:rPr>
                <w:rFonts w:hint="eastAsia" w:ascii="宋体" w:hAnsi="宋体" w:eastAsia="宋体" w:cs="宋体"/>
                <w:spacing w:val="0"/>
                <w:w w:val="100"/>
                <w:position w:val="0"/>
                <w:sz w:val="21"/>
                <w:szCs w:val="21"/>
              </w:rPr>
            </w:pPr>
            <w:r>
              <w:rPr>
                <w:rFonts w:hint="eastAsia" w:ascii="宋体" w:hAnsi="宋体" w:eastAsia="宋体"/>
                <w:spacing w:val="-1"/>
                <w:sz w:val="18"/>
                <w:szCs w:val="18"/>
              </w:rPr>
              <w:t>路线全长约24.667km（实施里程23.82km）。主线共设置桥梁（含互通区主线桥及主线上跨分离立交桥）约11456m/26座，其中：特大桥5371m/4座，大桥5278m/9座，中小桥807m/13座；设置互通4处，其中枢纽互通1处，一般互通3处；交警管理用房1处（与新市西互通合建），路政业务用房1处（与钟管互通合建）；匝道收费站3处，以及必要的交通安全、服务等设施。新建乾元互通连接线约4.966km。主线采用《公路工程技术标准》（JTG B01-2014）中的高速公路标准，双向六车道，设计速度100km/小时，路基宽度33.5米；互通连接线采用二级公路标准，设计速度60km/小时，路基宽度12米。桥涵设计荷载采用公路-I级；路面标准轴载采用BZZ-100；设计洪水频率特大桥1/300，其他1/100.地震基本烈度VI度。其他技术指标按有关现行标准、规范执行，并满足中华人民共和国《工程建设标准强制性条文》（公路工程部分）规定</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浙江交科工程</w:t>
            </w:r>
            <w:r>
              <w:rPr>
                <w:rFonts w:ascii="宋体" w:hAnsi="宋体" w:eastAsia="宋体"/>
                <w:sz w:val="21"/>
                <w:szCs w:val="21"/>
              </w:rPr>
              <w:t>检测有限公司</w:t>
            </w:r>
          </w:p>
        </w:tc>
        <w:tc>
          <w:tcPr>
            <w:tcW w:w="38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sz w:val="21"/>
                <w:szCs w:val="21"/>
              </w:rPr>
              <w:t>杭绍台</w:t>
            </w:r>
            <w:r>
              <w:rPr>
                <w:rFonts w:ascii="宋体" w:hAnsi="宋体" w:eastAsia="宋体"/>
                <w:sz w:val="21"/>
                <w:szCs w:val="21"/>
              </w:rPr>
              <w:t>高速公路台州段机电工程交工质量评定</w:t>
            </w:r>
            <w:r>
              <w:rPr>
                <w:rFonts w:hint="eastAsia" w:ascii="宋体" w:hAnsi="宋体" w:eastAsia="宋体"/>
                <w:sz w:val="21"/>
                <w:szCs w:val="21"/>
              </w:rPr>
              <w:t>检测</w:t>
            </w:r>
          </w:p>
        </w:tc>
        <w:tc>
          <w:tcPr>
            <w:tcW w:w="463"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新建</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□改扩建</w:t>
            </w:r>
          </w:p>
        </w:tc>
        <w:tc>
          <w:tcPr>
            <w:tcW w:w="3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项目负责人</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□完工</w:t>
            </w:r>
          </w:p>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sym w:font="Wingdings 2" w:char="0052"/>
            </w:r>
            <w:r>
              <w:rPr>
                <w:rFonts w:hint="eastAsia" w:ascii="宋体" w:hAnsi="宋体" w:eastAsia="宋体" w:cs="宋体"/>
                <w:b w:val="0"/>
                <w:bCs w:val="0"/>
                <w:spacing w:val="0"/>
                <w:w w:val="100"/>
                <w:position w:val="0"/>
                <w:sz w:val="21"/>
                <w:szCs w:val="21"/>
              </w:rPr>
              <w:t>交工</w:t>
            </w:r>
          </w:p>
        </w:tc>
        <w:tc>
          <w:tcPr>
            <w:tcW w:w="35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2022年1月</w:t>
            </w:r>
          </w:p>
        </w:tc>
        <w:tc>
          <w:tcPr>
            <w:tcW w:w="2369"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sz w:val="21"/>
                <w:szCs w:val="20"/>
                <w:lang w:eastAsia="zh-CN"/>
              </w:rPr>
            </w:pPr>
            <w:r>
              <w:rPr>
                <w:rFonts w:hint="eastAsia"/>
                <w:sz w:val="21"/>
                <w:szCs w:val="20"/>
              </w:rPr>
              <w:t>交通机电工程：监控</w:t>
            </w:r>
            <w:r>
              <w:rPr>
                <w:sz w:val="21"/>
                <w:szCs w:val="20"/>
              </w:rPr>
              <w:t>设施、</w:t>
            </w:r>
            <w:r>
              <w:rPr>
                <w:rFonts w:hint="eastAsia"/>
                <w:sz w:val="21"/>
                <w:szCs w:val="20"/>
              </w:rPr>
              <w:t>通信</w:t>
            </w:r>
            <w:r>
              <w:rPr>
                <w:sz w:val="21"/>
                <w:szCs w:val="20"/>
              </w:rPr>
              <w:t>设施、</w:t>
            </w:r>
            <w:r>
              <w:rPr>
                <w:rFonts w:hint="eastAsia"/>
                <w:sz w:val="21"/>
                <w:szCs w:val="20"/>
              </w:rPr>
              <w:t>收费设施、低压配电设施</w:t>
            </w:r>
            <w:r>
              <w:rPr>
                <w:sz w:val="21"/>
                <w:szCs w:val="20"/>
              </w:rPr>
              <w:t>、照明设施</w:t>
            </w:r>
            <w:r>
              <w:rPr>
                <w:rFonts w:hint="eastAsia"/>
                <w:sz w:val="21"/>
                <w:szCs w:val="20"/>
                <w:lang w:eastAsia="zh-CN"/>
              </w:rPr>
              <w:t>、</w:t>
            </w:r>
            <w:r>
              <w:rPr>
                <w:rFonts w:hint="eastAsia"/>
                <w:sz w:val="21"/>
                <w:szCs w:val="20"/>
                <w:lang w:val="en-US" w:eastAsia="zh-CN"/>
              </w:rPr>
              <w:t>隧道机电设施</w:t>
            </w:r>
            <w:r>
              <w:rPr>
                <w:rFonts w:hint="eastAsia"/>
                <w:sz w:val="21"/>
                <w:szCs w:val="20"/>
              </w:rPr>
              <w:t>等交工质量检测</w:t>
            </w:r>
            <w:r>
              <w:rPr>
                <w:rFonts w:hint="eastAsia"/>
                <w:sz w:val="21"/>
                <w:szCs w:val="20"/>
                <w:lang w:eastAsia="zh-CN"/>
              </w:rPr>
              <w:t>。</w:t>
            </w:r>
          </w:p>
          <w:p>
            <w:pPr>
              <w:ind w:firstLine="356" w:firstLineChars="200"/>
              <w:jc w:val="left"/>
              <w:rPr>
                <w:rFonts w:ascii="宋体" w:hAnsi="宋体" w:eastAsia="宋体" w:cs="Times New Roman"/>
                <w:spacing w:val="-1"/>
                <w:sz w:val="18"/>
                <w:szCs w:val="16"/>
              </w:rPr>
            </w:pPr>
            <w:r>
              <w:rPr>
                <w:rFonts w:hint="eastAsia" w:ascii="宋体" w:hAnsi="宋体" w:eastAsia="宋体" w:cs="Times New Roman"/>
                <w:spacing w:val="-1"/>
                <w:sz w:val="18"/>
                <w:szCs w:val="16"/>
              </w:rPr>
              <w:t>杭绍台高速公路工程台州段（不含绍兴金华境路线）全长45.184公里。全线共设置桥梁13825米/36座（含分离式立交及互通主线桥），其中特大桥5308米/4座、大桥7762米/20座、中桥755米/12座；设置隧道（含互通主线隧道）18662米/10座，其中特长隧道11229米/2座（大盘山隧道台州段6911.5米，大雷山隧道4317.5米）、长隧道5850米/4座、中短隧道1583米/4座；设置互通式立交4处，其中枢纽互通1处、一般互通 3 处；设置互通收费站4处、服务区1处（与街头互通合建）、管理分中心1处、隧道管理站2处、养护工区1处以及必要的交通安全、服务等设施；雷峰互通连接线约2.2公里（含隧道）、双港互通连接线约6.9公里、括苍枢纽连接线约1.5公里。</w:t>
            </w:r>
          </w:p>
          <w:p>
            <w:pPr>
              <w:pStyle w:val="2"/>
              <w:ind w:left="101" w:leftChars="0" w:firstLine="0" w:firstLineChars="0"/>
              <w:rPr>
                <w:rFonts w:hint="eastAsia" w:ascii="宋体" w:hAnsi="宋体" w:eastAsia="宋体" w:cs="宋体"/>
                <w:spacing w:val="0"/>
                <w:w w:val="100"/>
                <w:position w:val="0"/>
                <w:sz w:val="21"/>
                <w:szCs w:val="21"/>
              </w:rPr>
            </w:pPr>
            <w:r>
              <w:rPr>
                <w:rFonts w:hint="eastAsia" w:ascii="宋体" w:hAnsi="宋体" w:eastAsia="宋体" w:cs="Times New Roman"/>
                <w:spacing w:val="-1"/>
                <w:sz w:val="18"/>
                <w:szCs w:val="18"/>
              </w:rPr>
              <w:t>主线采用《公路工程技术标准》（JTGB01-2014）中的双向四车道高速公路标准，设计速度100公里/小时，路基宽度26米。雷峰互通连接线采用二级公路标准，设计速度60公里/小时，路基宽度12米；双港互通连接线、括苍枢纽连接线采用二级公路标准，设计速度80公里/小时，路基宽度12米。桥梁设计荷载为公路-I 级；设计洪水频率： 特大桥1/300，大、中、小桥、涵洞及路基1/100。</w:t>
            </w:r>
          </w:p>
        </w:tc>
      </w:tr>
      <w:tr>
        <w:tblPrEx>
          <w:tblCellMar>
            <w:top w:w="0" w:type="dxa"/>
            <w:left w:w="0" w:type="dxa"/>
            <w:bottom w:w="0" w:type="dxa"/>
            <w:right w:w="0" w:type="dxa"/>
          </w:tblCellMar>
        </w:tblPrEx>
        <w:trPr>
          <w:trHeight w:val="567" w:hRule="atLeast"/>
        </w:trPr>
        <w:tc>
          <w:tcPr>
            <w:tcW w:w="587"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381"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463" w:type="pct"/>
            <w:gridSpan w:val="2"/>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368"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355" w:type="pc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c>
          <w:tcPr>
            <w:tcW w:w="2369" w:type="pct"/>
            <w:gridSpan w:val="3"/>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w:t>
            </w:r>
          </w:p>
        </w:tc>
      </w:tr>
    </w:tbl>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41" w:lineRule="exact"/>
        <w:ind w:left="0" w:right="0" w:firstLine="420" w:firstLineChars="200"/>
        <w:jc w:val="left"/>
        <w:textAlignment w:val="auto"/>
        <w:rPr>
          <w:rFonts w:hint="eastAsia" w:ascii="宋体" w:hAnsi="宋体" w:eastAsia="宋体" w:cs="宋体"/>
          <w:b w:val="0"/>
          <w:bCs w:val="0"/>
          <w:spacing w:val="0"/>
          <w:w w:val="100"/>
          <w:position w:val="0"/>
          <w:sz w:val="21"/>
          <w:szCs w:val="21"/>
        </w:rPr>
      </w:pPr>
      <w:r>
        <w:rPr>
          <w:rFonts w:hint="eastAsia" w:ascii="宋体" w:hAnsi="宋体" w:eastAsia="宋体" w:cs="宋体"/>
          <w:b w:val="0"/>
          <w:bCs w:val="0"/>
          <w:spacing w:val="0"/>
          <w:w w:val="100"/>
          <w:position w:val="0"/>
          <w:sz w:val="21"/>
          <w:szCs w:val="21"/>
        </w:rPr>
        <w:t>注：1．投标人应按照投标人须知附录 4 要求的内容附相关证明材料（原件原色扫描件）附件B1系列（身份证、技术职称证、专业技术证书、社保证明、个人业绩证明）。</w:t>
      </w:r>
    </w:p>
    <w:p>
      <w:pPr>
        <w:keepNext w:val="0"/>
        <w:keepLines w:val="0"/>
        <w:pageBreakBefore w:val="0"/>
        <w:widowControl w:val="0"/>
        <w:kinsoku/>
        <w:wordWrap/>
        <w:overflowPunct/>
        <w:topLinePunct w:val="0"/>
        <w:autoSpaceDE/>
        <w:autoSpaceDN/>
        <w:bidi w:val="0"/>
        <w:adjustRightInd/>
        <w:snapToGrid/>
        <w:spacing w:line="341" w:lineRule="exact"/>
        <w:ind w:left="0" w:right="0" w:firstLine="420" w:firstLineChars="200"/>
        <w:jc w:val="left"/>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2．个人业绩证明材料为：合同协议书（若合同协议书无法完整的反映其招标文件资格审查条件及评标办法中相关评审要求的内容，还须补充提供项目业主出具的证明材料或验收证书进行补充和完善）。其中应能够证明该人员具有相关业绩。</w:t>
      </w:r>
    </w:p>
    <w:p>
      <w:pPr>
        <w:keepNext w:val="0"/>
        <w:keepLines w:val="0"/>
        <w:pageBreakBefore w:val="0"/>
        <w:widowControl w:val="0"/>
        <w:kinsoku/>
        <w:wordWrap/>
        <w:overflowPunct/>
        <w:topLinePunct w:val="0"/>
        <w:autoSpaceDE/>
        <w:autoSpaceDN/>
        <w:bidi w:val="0"/>
        <w:adjustRightInd/>
        <w:snapToGrid/>
        <w:spacing w:line="264" w:lineRule="auto"/>
        <w:ind w:left="0" w:right="0" w:firstLine="420" w:firstLineChars="200"/>
        <w:jc w:val="left"/>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3．若未出具证明材料或证明材料不全或所要求的信息描述不清晰不能与所证明的内容相匹配，造成业绩或其他内容不予认可时，投标人自行承担相关责任。</w:t>
      </w:r>
    </w:p>
    <w:p>
      <w:pPr>
        <w:keepNext w:val="0"/>
        <w:keepLines w:val="0"/>
        <w:pageBreakBefore w:val="0"/>
        <w:widowControl w:val="0"/>
        <w:kinsoku/>
        <w:wordWrap/>
        <w:overflowPunct/>
        <w:topLinePunct w:val="0"/>
        <w:autoSpaceDE/>
        <w:autoSpaceDN/>
        <w:bidi w:val="0"/>
        <w:adjustRightInd/>
        <w:snapToGrid/>
        <w:spacing w:line="264" w:lineRule="auto"/>
        <w:ind w:left="0" w:right="0" w:firstLine="420" w:firstLineChars="200"/>
        <w:jc w:val="left"/>
        <w:textAlignment w:val="auto"/>
        <w:rPr>
          <w:rFonts w:hint="eastAsia" w:ascii="宋体" w:hAnsi="宋体" w:eastAsia="宋体" w:cs="宋体"/>
          <w:spacing w:val="0"/>
          <w:w w:val="100"/>
          <w:position w:val="0"/>
          <w:sz w:val="21"/>
          <w:szCs w:val="21"/>
        </w:rPr>
      </w:pPr>
      <w:r>
        <w:rPr>
          <w:rFonts w:hint="eastAsia" w:ascii="宋体" w:hAnsi="宋体" w:eastAsia="宋体" w:cs="宋体"/>
          <w:b w:val="0"/>
          <w:bCs w:val="0"/>
          <w:spacing w:val="0"/>
          <w:w w:val="100"/>
          <w:position w:val="0"/>
          <w:sz w:val="21"/>
          <w:szCs w:val="21"/>
        </w:rPr>
        <w:t>4.本表word格式电子文档（U盘）（不含相关证明材料）作为公示资料在四川高速公路建设开发集团有限公司网站（https://</w:t>
      </w:r>
      <w:r>
        <w:rPr>
          <w:rFonts w:hint="eastAsia" w:ascii="宋体" w:hAnsi="宋体" w:eastAsia="宋体" w:cs="宋体"/>
          <w:spacing w:val="0"/>
          <w:w w:val="100"/>
          <w:position w:val="0"/>
        </w:rPr>
        <w:fldChar w:fldCharType="begin"/>
      </w:r>
      <w:r>
        <w:rPr>
          <w:rFonts w:hint="eastAsia" w:ascii="宋体" w:hAnsi="宋体" w:eastAsia="宋体" w:cs="宋体"/>
          <w:spacing w:val="0"/>
          <w:w w:val="100"/>
          <w:position w:val="0"/>
        </w:rPr>
        <w:instrText xml:space="preserve"> HYPERLINK "http://www.scgs.com.cn/" \h </w:instrText>
      </w:r>
      <w:r>
        <w:rPr>
          <w:rFonts w:hint="eastAsia" w:ascii="宋体" w:hAnsi="宋体" w:eastAsia="宋体" w:cs="宋体"/>
          <w:spacing w:val="0"/>
          <w:w w:val="100"/>
          <w:position w:val="0"/>
        </w:rPr>
        <w:fldChar w:fldCharType="separate"/>
      </w:r>
      <w:r>
        <w:rPr>
          <w:rFonts w:hint="eastAsia" w:ascii="宋体" w:hAnsi="宋体" w:eastAsia="宋体" w:cs="宋体"/>
          <w:b w:val="0"/>
          <w:bCs w:val="0"/>
          <w:spacing w:val="0"/>
          <w:w w:val="100"/>
          <w:position w:val="0"/>
          <w:sz w:val="21"/>
          <w:szCs w:val="21"/>
        </w:rPr>
        <w:t>www.scgs.com.cn/</w:t>
      </w:r>
      <w:r>
        <w:rPr>
          <w:rFonts w:hint="eastAsia" w:ascii="宋体" w:hAnsi="宋体" w:eastAsia="宋体" w:cs="宋体"/>
          <w:b w:val="0"/>
          <w:bCs w:val="0"/>
          <w:spacing w:val="0"/>
          <w:w w:val="100"/>
          <w:position w:val="0"/>
          <w:sz w:val="21"/>
          <w:szCs w:val="21"/>
        </w:rPr>
        <w:fldChar w:fldCharType="end"/>
      </w:r>
      <w:r>
        <w:rPr>
          <w:rFonts w:hint="eastAsia" w:ascii="宋体" w:hAnsi="宋体" w:eastAsia="宋体" w:cs="宋体"/>
          <w:b w:val="0"/>
          <w:bCs w:val="0"/>
          <w:spacing w:val="0"/>
          <w:w w:val="100"/>
          <w:position w:val="0"/>
          <w:sz w:val="21"/>
          <w:szCs w:val="21"/>
        </w:rPr>
        <w:t>）上公示，公示期间接收社会公开监督，投标人应确保公示资料word电子文档与投标文件中相应内容一致，否则以投标文件为准进行公示。</w:t>
      </w:r>
    </w:p>
    <w:p>
      <w:pPr>
        <w:rPr>
          <w:rFonts w:hint="eastAsia" w:ascii="宋体" w:hAnsi="宋体" w:eastAsia="宋体" w:cs="宋体"/>
          <w:spacing w:val="0"/>
          <w:w w:val="100"/>
          <w:position w:val="0"/>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思源黑体 CN ExtraLight">
    <w:panose1 w:val="020B0200000000000000"/>
    <w:charset w:val="80"/>
    <w:family w:val="swiss"/>
    <w:pitch w:val="default"/>
    <w:sig w:usb0="20000003" w:usb1="2ADF3C10" w:usb2="00000016" w:usb3="00000000" w:csb0="60060107"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2CB4"/>
    <w:rsid w:val="27DD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0" w:firstLineChars="0"/>
    </w:pPr>
    <w:rPr>
      <w:rFonts w:ascii="宋体" w:hAnsi="宋体" w:eastAsia="宋体" w:cstheme="minorBidi"/>
      <w:kern w:val="2"/>
      <w:sz w:val="24"/>
      <w:szCs w:val="22"/>
      <w:lang w:val="en-US" w:eastAsia="zh-CN" w:bidi="ar-SA"/>
    </w:rPr>
  </w:style>
  <w:style w:type="paragraph" w:styleId="4">
    <w:name w:val="heading 2"/>
    <w:basedOn w:val="1"/>
    <w:next w:val="1"/>
    <w:unhideWhenUsed/>
    <w:qFormat/>
    <w:uiPriority w:val="9"/>
    <w:pPr>
      <w:keepNext/>
      <w:keepLines/>
      <w:spacing w:before="120" w:after="120" w:line="360" w:lineRule="auto"/>
      <w:ind w:firstLine="0" w:firstLineChars="0"/>
      <w:jc w:val="center"/>
      <w:outlineLvl w:val="1"/>
    </w:pPr>
    <w:rPr>
      <w:rFonts w:cstheme="majorBidi"/>
      <w:b/>
      <w:bCs/>
      <w:sz w:val="32"/>
      <w:szCs w:val="32"/>
    </w:rPr>
  </w:style>
  <w:style w:type="paragraph" w:styleId="5">
    <w:name w:val="heading 3"/>
    <w:basedOn w:val="1"/>
    <w:next w:val="1"/>
    <w:unhideWhenUsed/>
    <w:qFormat/>
    <w:uiPriority w:val="9"/>
    <w:pPr>
      <w:keepNext/>
      <w:keepLines/>
      <w:spacing w:line="360" w:lineRule="auto"/>
      <w:ind w:firstLine="0" w:firstLineChars="0"/>
      <w:jc w:val="center"/>
      <w:outlineLvl w:val="2"/>
    </w:pPr>
    <w:rPr>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43"/>
      <w:ind w:left="101"/>
    </w:pPr>
    <w:rPr>
      <w:rFonts w:ascii="思源黑体 CN ExtraLight" w:hAnsi="思源黑体 CN ExtraLight" w:eastAsia="思源黑体 CN ExtraLight"/>
      <w:sz w:val="24"/>
      <w:szCs w:val="24"/>
    </w:rPr>
  </w:style>
  <w:style w:type="paragraph" w:styleId="3">
    <w:name w:val="index 9"/>
    <w:basedOn w:val="1"/>
    <w:next w:val="1"/>
    <w:qFormat/>
    <w:uiPriority w:val="0"/>
    <w:pPr>
      <w:ind w:left="3360"/>
    </w:pPr>
  </w:style>
  <w:style w:type="paragraph" w:styleId="6">
    <w:name w:val="toa heading"/>
    <w:basedOn w:val="1"/>
    <w:next w:val="1"/>
    <w:unhideWhenUsed/>
    <w:qFormat/>
    <w:uiPriority w:val="99"/>
    <w:pPr>
      <w:spacing w:before="120"/>
    </w:pPr>
    <w:rPr>
      <w:rFonts w:ascii="Cambria" w:hAnsi="Cambria"/>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2022-11-24T02:40:00Z</dcterms:created>
  <dc:creator>AAA-晴天娃娃</dc:creator>
  <cp:lastModifiedBy>AAA-晴天娃娃</cp:lastModifiedBy>
  <dcterms:modified xsi:type="dcterms:W3CDTF">2022-11-24T02:43:53Z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