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四川攀西高速公路开发股份有限公司（攀西公司）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 18 个服务区雨污分流问题整改、5 个站点污水不达标问题整改，强化污水处理设施运维管理。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4"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5" w:hRule="atLeas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西公司委托四川省交通运输厅公路规划勘察设计院进行米易服务区A、B区雨污分流系统改造工程施工图设计，将屋面雨水管道接入新建雨水排水沟内，避免雨水进入污水管道，同时对洗手池下水管道重新排列，将洗手池污水排往现有污水管道，已于2023年8月31日按照设计图完成现场整改, 经相关部门联合验收，米易服务区A、B区雨污分流问题已整改，已实现雨污分流。</w:t>
            </w:r>
            <w:bookmarkStart w:id="3" w:name="_GoBack"/>
            <w:bookmarkEnd w:id="3"/>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26D4C89"/>
    <w:rsid w:val="04910EBB"/>
    <w:rsid w:val="058642F7"/>
    <w:rsid w:val="05E55F53"/>
    <w:rsid w:val="0C0F70F9"/>
    <w:rsid w:val="0DC23D27"/>
    <w:rsid w:val="149F2ED8"/>
    <w:rsid w:val="205C04A1"/>
    <w:rsid w:val="21FF5A3F"/>
    <w:rsid w:val="23FA0237"/>
    <w:rsid w:val="24184FF9"/>
    <w:rsid w:val="26396DF4"/>
    <w:rsid w:val="3488685F"/>
    <w:rsid w:val="36D14E27"/>
    <w:rsid w:val="379F6CD3"/>
    <w:rsid w:val="39FD4818"/>
    <w:rsid w:val="3A513CB2"/>
    <w:rsid w:val="3AA853D9"/>
    <w:rsid w:val="3C5A3E76"/>
    <w:rsid w:val="42512E91"/>
    <w:rsid w:val="42EA5EB8"/>
    <w:rsid w:val="43125214"/>
    <w:rsid w:val="4B3854E4"/>
    <w:rsid w:val="513E2C91"/>
    <w:rsid w:val="51525238"/>
    <w:rsid w:val="535C6DE4"/>
    <w:rsid w:val="53A022C0"/>
    <w:rsid w:val="57A90EE1"/>
    <w:rsid w:val="5CAC75E7"/>
    <w:rsid w:val="5E461BC1"/>
    <w:rsid w:val="640C2496"/>
    <w:rsid w:val="66A80AC3"/>
    <w:rsid w:val="67B657F0"/>
    <w:rsid w:val="6BA45BE5"/>
    <w:rsid w:val="6CE56D35"/>
    <w:rsid w:val="6D0C4423"/>
    <w:rsid w:val="6F7E382D"/>
    <w:rsid w:val="727D6DC5"/>
    <w:rsid w:val="77F51A1C"/>
    <w:rsid w:val="7C525DB6"/>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2023-10-10T08:51:51Z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